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C535" w14:textId="77777777" w:rsidR="00421A6D" w:rsidRDefault="00421A6D" w:rsidP="00E22555">
      <w:pPr>
        <w:jc w:val="both"/>
      </w:pPr>
    </w:p>
    <w:p w14:paraId="6D8F5C77" w14:textId="77777777" w:rsidR="00421A6D" w:rsidRDefault="00421A6D" w:rsidP="00E22555">
      <w:pPr>
        <w:jc w:val="both"/>
      </w:pPr>
    </w:p>
    <w:p w14:paraId="2FDB35BF" w14:textId="4F35D7BC" w:rsidR="000E7BE2" w:rsidRDefault="003D64AC" w:rsidP="00E22555">
      <w:pPr>
        <w:jc w:val="both"/>
      </w:pPr>
      <w:r w:rsidRPr="003D64AC">
        <w:t xml:space="preserve">Uwaga na oszukańcze serwisy internetowe oferujące inwestycje w kryptowaluty i na rynku Forex – Działaj </w:t>
      </w:r>
      <w:r w:rsidR="00B578B9">
        <w:t xml:space="preserve">ostrożnie i </w:t>
      </w:r>
      <w:r w:rsidRPr="003D64AC">
        <w:t xml:space="preserve">rozsądnie. </w:t>
      </w:r>
    </w:p>
    <w:p w14:paraId="07A9A540" w14:textId="77777777" w:rsidR="003D64AC" w:rsidRDefault="003D64AC" w:rsidP="00E22555">
      <w:pPr>
        <w:jc w:val="both"/>
      </w:pPr>
    </w:p>
    <w:p w14:paraId="123538F5" w14:textId="77777777" w:rsidR="003D64AC" w:rsidRDefault="003D64AC" w:rsidP="00E22555">
      <w:pPr>
        <w:jc w:val="both"/>
      </w:pPr>
    </w:p>
    <w:p w14:paraId="1ED6C508" w14:textId="601AB067" w:rsidR="000E7BE2" w:rsidRPr="00293328" w:rsidRDefault="000E7BE2" w:rsidP="007F6065">
      <w:pPr>
        <w:jc w:val="center"/>
      </w:pPr>
      <w:r>
        <w:rPr>
          <w:b/>
          <w:bCs/>
        </w:rPr>
        <w:t>Informacja</w:t>
      </w:r>
    </w:p>
    <w:p w14:paraId="40271EBB" w14:textId="1B3023F9" w:rsidR="000E7BE2" w:rsidRPr="00293328" w:rsidRDefault="000E7BE2" w:rsidP="007F6065">
      <w:pPr>
        <w:jc w:val="center"/>
      </w:pPr>
      <w:r w:rsidRPr="00293328">
        <w:rPr>
          <w:b/>
          <w:bCs/>
        </w:rPr>
        <w:t>Komendy Głównej Policji</w:t>
      </w:r>
      <w:r>
        <w:rPr>
          <w:b/>
          <w:bCs/>
        </w:rPr>
        <w:t xml:space="preserve"> </w:t>
      </w:r>
      <w:r w:rsidRPr="00293328">
        <w:rPr>
          <w:b/>
          <w:bCs/>
        </w:rPr>
        <w:t>i FinCERT.pl – Bankowego Centrum Cyberbezpieczeństwa ZBP</w:t>
      </w:r>
      <w:r>
        <w:rPr>
          <w:b/>
          <w:bCs/>
        </w:rPr>
        <w:t xml:space="preserve"> o zagrożeniu związanym z ofertami inwestycji na rynku Forex i</w:t>
      </w:r>
      <w:r w:rsidR="00A5472D">
        <w:rPr>
          <w:b/>
          <w:bCs/>
        </w:rPr>
        <w:t> </w:t>
      </w:r>
      <w:r w:rsidR="00E22555">
        <w:rPr>
          <w:b/>
          <w:bCs/>
        </w:rPr>
        <w:t>kryptowalut</w:t>
      </w:r>
      <w:r w:rsidR="007B47C0">
        <w:rPr>
          <w:b/>
          <w:bCs/>
        </w:rPr>
        <w:t xml:space="preserve"> </w:t>
      </w:r>
      <w:r w:rsidRPr="00293328">
        <w:rPr>
          <w:b/>
          <w:bCs/>
        </w:rPr>
        <w:t xml:space="preserve">z dnia </w:t>
      </w:r>
      <w:r w:rsidR="00EC2979">
        <w:rPr>
          <w:b/>
          <w:bCs/>
        </w:rPr>
        <w:t>18.03</w:t>
      </w:r>
      <w:r w:rsidR="008A3CC5">
        <w:rPr>
          <w:b/>
          <w:bCs/>
        </w:rPr>
        <w:t xml:space="preserve"> 2021</w:t>
      </w:r>
      <w:r>
        <w:rPr>
          <w:b/>
          <w:bCs/>
        </w:rPr>
        <w:t xml:space="preserve"> r.</w:t>
      </w:r>
    </w:p>
    <w:p w14:paraId="37D2C6E6" w14:textId="77777777" w:rsidR="000E7BE2" w:rsidRDefault="000E7BE2" w:rsidP="00E22555">
      <w:pPr>
        <w:jc w:val="both"/>
      </w:pPr>
    </w:p>
    <w:p w14:paraId="2C252CAA" w14:textId="77777777" w:rsidR="000E7BE2" w:rsidRDefault="000E7BE2" w:rsidP="00E22555">
      <w:pPr>
        <w:jc w:val="both"/>
      </w:pPr>
    </w:p>
    <w:p w14:paraId="292F37B2" w14:textId="77777777" w:rsidR="003D64AC" w:rsidRDefault="003D64AC" w:rsidP="00E22555">
      <w:pPr>
        <w:jc w:val="both"/>
      </w:pPr>
    </w:p>
    <w:p w14:paraId="10270DE2" w14:textId="1C464421" w:rsidR="000E7BE2" w:rsidRDefault="00137373" w:rsidP="00E22555">
      <w:pPr>
        <w:jc w:val="both"/>
        <w:rPr>
          <w:b/>
          <w:bCs/>
        </w:rPr>
      </w:pPr>
      <w:r>
        <w:rPr>
          <w:b/>
          <w:bCs/>
        </w:rPr>
        <w:t xml:space="preserve">Co </w:t>
      </w:r>
      <w:r w:rsidR="00EC2979">
        <w:rPr>
          <w:b/>
          <w:bCs/>
        </w:rPr>
        <w:t>trzeba</w:t>
      </w:r>
      <w:r>
        <w:rPr>
          <w:b/>
          <w:bCs/>
        </w:rPr>
        <w:t xml:space="preserve"> wiedzieć o oszustwach na rynku Forex </w:t>
      </w:r>
      <w:r w:rsidR="00E22555">
        <w:rPr>
          <w:b/>
          <w:bCs/>
        </w:rPr>
        <w:t>i kryptowalut?</w:t>
      </w:r>
    </w:p>
    <w:p w14:paraId="2942CE66" w14:textId="77777777" w:rsidR="00D56212" w:rsidRPr="00D56212" w:rsidRDefault="00D56212" w:rsidP="00E22555">
      <w:pPr>
        <w:jc w:val="both"/>
        <w:rPr>
          <w:b/>
          <w:bCs/>
        </w:rPr>
      </w:pPr>
    </w:p>
    <w:p w14:paraId="6D675532" w14:textId="4A75A9B1" w:rsidR="007B79A4" w:rsidRDefault="00610182" w:rsidP="00E22555">
      <w:pPr>
        <w:jc w:val="both"/>
      </w:pPr>
      <w:r>
        <w:t>I</w:t>
      </w:r>
      <w:r w:rsidR="006B17E4">
        <w:t>n</w:t>
      </w:r>
      <w:r>
        <w:t>westycje</w:t>
      </w:r>
      <w:r w:rsidR="000E7BE2">
        <w:t xml:space="preserve"> w kryptowaluty lub na rynkach Forex co do zasady są legalne</w:t>
      </w:r>
      <w:r w:rsidR="006B17E4">
        <w:t xml:space="preserve">. </w:t>
      </w:r>
      <w:r w:rsidR="00FF7163">
        <w:t>Z</w:t>
      </w:r>
      <w:r w:rsidR="006B17E4">
        <w:t xml:space="preserve">auważamy </w:t>
      </w:r>
      <w:r w:rsidR="00FF7163">
        <w:t xml:space="preserve">jednak </w:t>
      </w:r>
      <w:r w:rsidR="00BA09EB">
        <w:t>coraz więcej przestępstw</w:t>
      </w:r>
      <w:r w:rsidR="001F33E0">
        <w:t xml:space="preserve">, </w:t>
      </w:r>
      <w:r w:rsidR="006B17E4">
        <w:t xml:space="preserve">które polegają </w:t>
      </w:r>
      <w:r w:rsidR="001F33E0">
        <w:t>na oszukańczym działaniu podmiotów pośredniczących w</w:t>
      </w:r>
      <w:r w:rsidR="00E72506">
        <w:t> </w:t>
      </w:r>
      <w:r w:rsidR="001F33E0">
        <w:t xml:space="preserve">inwestowaniu. </w:t>
      </w:r>
    </w:p>
    <w:p w14:paraId="799F4229" w14:textId="77777777" w:rsidR="00FF7163" w:rsidRDefault="00FF7163" w:rsidP="00E22555">
      <w:pPr>
        <w:jc w:val="both"/>
      </w:pPr>
    </w:p>
    <w:p w14:paraId="50BB5054" w14:textId="1C7FABA0" w:rsidR="007B79A4" w:rsidRPr="003D64AC" w:rsidRDefault="007B79A4" w:rsidP="00E22555">
      <w:pPr>
        <w:jc w:val="both"/>
      </w:pPr>
      <w:r w:rsidRPr="00380B40">
        <w:t xml:space="preserve">Wariantów wyłudzeń związanych z inwestowaniem w kryptowaluty jest wiele. </w:t>
      </w:r>
      <w:r w:rsidR="00BF5484">
        <w:t>Przysz</w:t>
      </w:r>
      <w:r w:rsidR="00086384">
        <w:t>li poszkodowani</w:t>
      </w:r>
      <w:r w:rsidR="00BF5484" w:rsidRPr="00380B40">
        <w:t xml:space="preserve"> </w:t>
      </w:r>
      <w:r w:rsidRPr="00380B40">
        <w:t xml:space="preserve">mogą być </w:t>
      </w:r>
      <w:r w:rsidR="00086384">
        <w:t>kuszeni</w:t>
      </w:r>
      <w:r w:rsidR="00086384" w:rsidRPr="00380B40">
        <w:t xml:space="preserve"> </w:t>
      </w:r>
      <w:r w:rsidRPr="00380B40">
        <w:t>np. udziałem w ekskluzywnych szkoleniach dotyczących inwestowania czy możliwością odbioru fikcyjnej „wygranej” wygenerowanej przez „jakiś” system inwestujący w kryptowaluty lub na rynku Forex. Zamiennie, zamiast inwestycji bezpośrednio w kryptowaluty mogą pojawić się zachęty do inwestowania w rynki Forex czy też zakupy udziałów w nieruchomościach. Zdarzają się również „oferty” pracy związanej z obrotem kryptowalutami. Na rachunki takich osób wpływają skradzione środki</w:t>
      </w:r>
      <w:r w:rsidR="00B578B9">
        <w:t>, które</w:t>
      </w:r>
      <w:r w:rsidRPr="00380B40">
        <w:t xml:space="preserve"> następnie </w:t>
      </w:r>
      <w:r w:rsidR="00FF7163">
        <w:t xml:space="preserve">mogą być </w:t>
      </w:r>
      <w:r w:rsidRPr="00380B40">
        <w:t>przetransferowane poprzez założone na ich dane konta</w:t>
      </w:r>
      <w:r w:rsidR="00B578B9">
        <w:t>,</w:t>
      </w:r>
      <w:r w:rsidRPr="00380B40">
        <w:t xml:space="preserve"> w kantorach czy giełdach kryptowalut lub Forex.</w:t>
      </w:r>
    </w:p>
    <w:p w14:paraId="20ABC2DF" w14:textId="77777777" w:rsidR="007B79A4" w:rsidRDefault="007B79A4" w:rsidP="00E22555">
      <w:pPr>
        <w:jc w:val="both"/>
      </w:pPr>
    </w:p>
    <w:p w14:paraId="53DF9278" w14:textId="7557152F" w:rsidR="00BF4FFB" w:rsidRDefault="00137373" w:rsidP="00E22555">
      <w:pPr>
        <w:jc w:val="both"/>
      </w:pPr>
      <w:r>
        <w:t xml:space="preserve">Przestępcy </w:t>
      </w:r>
      <w:r w:rsidR="00484450">
        <w:t>często działają w zorganizowanej grupie przestępczej. W</w:t>
      </w:r>
      <w:r>
        <w:t>ykorzystują okres pandemii i</w:t>
      </w:r>
      <w:r w:rsidR="00E72506">
        <w:t> </w:t>
      </w:r>
      <w:r>
        <w:t>kreują nowe scenariusze oszustw, często oparte na strachu przed bezpośrednimi skutkami pandemii, które pogarszają sytuację ekonomiczną ludzi</w:t>
      </w:r>
      <w:r w:rsidR="00EC3171">
        <w:t xml:space="preserve">. </w:t>
      </w:r>
      <w:r w:rsidR="001F33E0">
        <w:t>Najczęściej</w:t>
      </w:r>
      <w:r w:rsidR="00D56212">
        <w:t xml:space="preserve"> </w:t>
      </w:r>
      <w:r w:rsidR="001F33E0">
        <w:t>przestępcy oferują klientom pomoc</w:t>
      </w:r>
      <w:r w:rsidR="00FC2FAF">
        <w:t xml:space="preserve"> w inwestowaniu. </w:t>
      </w:r>
      <w:r w:rsidR="00FF7163">
        <w:t>P</w:t>
      </w:r>
      <w:r w:rsidR="00BF4FFB">
        <w:t>roponują</w:t>
      </w:r>
      <w:r w:rsidR="00FF7163">
        <w:t xml:space="preserve"> na przykład</w:t>
      </w:r>
      <w:r w:rsidR="00BF4FFB">
        <w:t>, ż</w:t>
      </w:r>
      <w:r w:rsidR="00FC2FAF">
        <w:t>e będą</w:t>
      </w:r>
      <w:r w:rsidR="00BF4FFB">
        <w:t>:</w:t>
      </w:r>
    </w:p>
    <w:p w14:paraId="0BA34B15" w14:textId="77777777" w:rsidR="00FF7163" w:rsidRDefault="00FF7163" w:rsidP="00E22555">
      <w:pPr>
        <w:jc w:val="both"/>
      </w:pPr>
    </w:p>
    <w:p w14:paraId="0534E1F4" w14:textId="0455356F" w:rsidR="00BF4FFB" w:rsidRPr="00380B40" w:rsidRDefault="00FC2FAF" w:rsidP="00E2255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>
        <w:t>świadczyć</w:t>
      </w:r>
      <w:r w:rsidR="001F33E0">
        <w:t xml:space="preserve"> </w:t>
      </w:r>
      <w:r w:rsidR="001F33E0" w:rsidRPr="001F33E0">
        <w:t>doradztw</w:t>
      </w:r>
      <w:r>
        <w:t>o</w:t>
      </w:r>
      <w:r w:rsidR="001F33E0" w:rsidRPr="001F33E0">
        <w:t xml:space="preserve"> inwestycyjne</w:t>
      </w:r>
      <w:r>
        <w:t>, czyli rekomen</w:t>
      </w:r>
      <w:r w:rsidR="00BF4FFB">
        <w:t>dować realizację</w:t>
      </w:r>
      <w:r>
        <w:t xml:space="preserve"> transakcji </w:t>
      </w:r>
      <w:r w:rsidR="001F33E0" w:rsidRPr="001F33E0">
        <w:t>na rynku Forex za pośrednictwem platform inwestycy</w:t>
      </w:r>
      <w:r w:rsidR="001F33E0">
        <w:t>jnych</w:t>
      </w:r>
      <w:r w:rsidR="001F33E0" w:rsidRPr="001F33E0">
        <w:t xml:space="preserve">, </w:t>
      </w:r>
    </w:p>
    <w:p w14:paraId="4569267E" w14:textId="7F6C71E5" w:rsidR="00417DFC" w:rsidRPr="00380B40" w:rsidRDefault="001F33E0" w:rsidP="00E2255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1F33E0">
        <w:t>zarządza</w:t>
      </w:r>
      <w:r w:rsidR="00BF4FFB">
        <w:t>ć</w:t>
      </w:r>
      <w:r w:rsidRPr="001F33E0">
        <w:t xml:space="preserve"> portfelami klientów</w:t>
      </w:r>
      <w:r w:rsidR="00417DFC">
        <w:t xml:space="preserve">, czyli podejmować i realizować </w:t>
      </w:r>
      <w:r w:rsidRPr="001F33E0">
        <w:t>decyzj</w:t>
      </w:r>
      <w:r w:rsidR="00417DFC">
        <w:t>e</w:t>
      </w:r>
      <w:r w:rsidRPr="001F33E0">
        <w:t xml:space="preserve"> inwestycyjn</w:t>
      </w:r>
      <w:r w:rsidR="00417DFC">
        <w:t>e</w:t>
      </w:r>
      <w:r w:rsidRPr="001F33E0">
        <w:t xml:space="preserve"> na ich rachunek</w:t>
      </w:r>
      <w:r>
        <w:t>.</w:t>
      </w:r>
      <w:r w:rsidR="009A0954">
        <w:t xml:space="preserve"> </w:t>
      </w:r>
    </w:p>
    <w:p w14:paraId="5EF68B83" w14:textId="77777777" w:rsidR="00417DFC" w:rsidRPr="00380B40" w:rsidRDefault="00417DFC" w:rsidP="00E22555">
      <w:pPr>
        <w:pStyle w:val="Akapitzlist"/>
        <w:ind w:left="780"/>
        <w:jc w:val="both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</w:p>
    <w:p w14:paraId="3EE09DC1" w14:textId="28D4AAC8" w:rsidR="00FF7163" w:rsidRDefault="00B83282" w:rsidP="00E22555">
      <w:pPr>
        <w:jc w:val="both"/>
        <w:rPr>
          <w:rFonts w:asciiTheme="minorHAnsi" w:hAnsiTheme="minorHAnsi" w:cstheme="minorHAnsi"/>
          <w:color w:val="000000" w:themeColor="text1"/>
        </w:rPr>
      </w:pPr>
      <w:r w:rsidRPr="000E22CC">
        <w:rPr>
          <w:rFonts w:asciiTheme="minorHAnsi" w:hAnsiTheme="minorHAnsi" w:cstheme="minorHAnsi"/>
          <w:color w:val="000000" w:themeColor="text1"/>
        </w:rPr>
        <w:t>Niestety skala oszustw jest coraz większa, a pojedyncze transakcje opiewają na coraz wyższe sumy</w:t>
      </w:r>
      <w:r w:rsidR="00FF7163">
        <w:rPr>
          <w:rFonts w:asciiTheme="minorHAnsi" w:hAnsiTheme="minorHAnsi" w:cstheme="minorHAnsi"/>
          <w:color w:val="000000" w:themeColor="text1"/>
        </w:rPr>
        <w:t xml:space="preserve">. Przykładowo, </w:t>
      </w:r>
      <w:r w:rsidRPr="000E22CC">
        <w:rPr>
          <w:rFonts w:asciiTheme="minorHAnsi" w:hAnsiTheme="minorHAnsi" w:cstheme="minorHAnsi"/>
          <w:color w:val="000000" w:themeColor="text1"/>
        </w:rPr>
        <w:t>odnotowano oszustwa obejmujące jednorazową transakcję na kwotę sięgającą prawie 150 tys. zł.</w:t>
      </w:r>
    </w:p>
    <w:p w14:paraId="523EF774" w14:textId="05A8FC38" w:rsidR="00B83282" w:rsidRDefault="00B83282" w:rsidP="00E22555">
      <w:pPr>
        <w:jc w:val="both"/>
        <w:rPr>
          <w:rFonts w:asciiTheme="minorHAnsi" w:hAnsiTheme="minorHAnsi" w:cstheme="minorHAnsi"/>
          <w:color w:val="000000" w:themeColor="text1"/>
        </w:rPr>
      </w:pPr>
      <w:r w:rsidRPr="000E22CC">
        <w:rPr>
          <w:rFonts w:asciiTheme="minorHAnsi" w:hAnsiTheme="minorHAnsi" w:cstheme="minorHAnsi"/>
          <w:color w:val="000000" w:themeColor="text1"/>
        </w:rPr>
        <w:t xml:space="preserve"> </w:t>
      </w:r>
    </w:p>
    <w:p w14:paraId="679806E7" w14:textId="113BAD78" w:rsidR="00484450" w:rsidRDefault="00B578B9" w:rsidP="00E22555">
      <w:pPr>
        <w:jc w:val="both"/>
      </w:pPr>
      <w:r>
        <w:t>Jeżeli rozważasz inwestycje, z</w:t>
      </w:r>
      <w:r w:rsidR="00484450">
        <w:t xml:space="preserve">wróć szczególną </w:t>
      </w:r>
      <w:r w:rsidR="007F6065">
        <w:t>uwagę</w:t>
      </w:r>
      <w:r w:rsidR="00484450">
        <w:t xml:space="preserve"> czy</w:t>
      </w:r>
      <w:r w:rsidR="00662767">
        <w:t xml:space="preserve"> </w:t>
      </w:r>
      <w:r w:rsidR="00AC4B6C">
        <w:t>podmiot, k</w:t>
      </w:r>
      <w:r w:rsidR="00662767">
        <w:t>tóry prowadzi platformę inwestycyjną lub pośredniczy w</w:t>
      </w:r>
      <w:r w:rsidR="00E72506">
        <w:t> </w:t>
      </w:r>
      <w:r w:rsidR="00662767">
        <w:t>nabywaniu i obrocie walutami wirtualnymi (w tym kryptowalutami)</w:t>
      </w:r>
      <w:r w:rsidR="007B569C">
        <w:t xml:space="preserve"> ma</w:t>
      </w:r>
      <w:r w:rsidR="00484450">
        <w:t>:</w:t>
      </w:r>
    </w:p>
    <w:p w14:paraId="73B1320B" w14:textId="77777777" w:rsidR="00FF7163" w:rsidRDefault="00FF7163" w:rsidP="00E22555">
      <w:pPr>
        <w:jc w:val="both"/>
      </w:pPr>
    </w:p>
    <w:p w14:paraId="4405C21C" w14:textId="4CE77C3D" w:rsidR="00F92295" w:rsidRPr="00380B40" w:rsidRDefault="009A0954" w:rsidP="00E22555">
      <w:pPr>
        <w:pStyle w:val="Akapitzlist"/>
        <w:numPr>
          <w:ilvl w:val="0"/>
          <w:numId w:val="8"/>
        </w:numPr>
        <w:jc w:val="both"/>
      </w:pPr>
      <w:r>
        <w:t xml:space="preserve">wymagane zezwolenia </w:t>
      </w:r>
      <w:r w:rsidRPr="009A0954">
        <w:t>w zakresie obrotu instrumentami finansowymi</w:t>
      </w:r>
      <w:r w:rsidR="00DA57A8">
        <w:rPr>
          <w:rFonts w:asciiTheme="minorHAnsi" w:hAnsiTheme="minorHAnsi" w:cstheme="minorHAnsi"/>
          <w:color w:val="000000" w:themeColor="text1"/>
        </w:rPr>
        <w:t>,</w:t>
      </w:r>
      <w:bookmarkStart w:id="0" w:name="_Hlk63700321"/>
    </w:p>
    <w:p w14:paraId="761BE191" w14:textId="67960880" w:rsidR="00585808" w:rsidRPr="007B47C0" w:rsidRDefault="007B569C" w:rsidP="00E22555">
      <w:pPr>
        <w:pStyle w:val="Akapitzlist"/>
        <w:numPr>
          <w:ilvl w:val="0"/>
          <w:numId w:val="8"/>
        </w:numPr>
        <w:jc w:val="both"/>
      </w:pPr>
      <w:r>
        <w:rPr>
          <w:rFonts w:asciiTheme="minorHAnsi" w:hAnsiTheme="minorHAnsi" w:cstheme="minorHAnsi"/>
          <w:color w:val="000000" w:themeColor="text1"/>
        </w:rPr>
        <w:t>swoją</w:t>
      </w:r>
      <w:r w:rsidR="00F92295">
        <w:rPr>
          <w:rFonts w:asciiTheme="minorHAnsi" w:hAnsiTheme="minorHAnsi" w:cstheme="minorHAnsi"/>
          <w:color w:val="000000" w:themeColor="text1"/>
        </w:rPr>
        <w:t xml:space="preserve"> siedzibę </w:t>
      </w:r>
      <w:r>
        <w:rPr>
          <w:rFonts w:asciiTheme="minorHAnsi" w:hAnsiTheme="minorHAnsi" w:cstheme="minorHAnsi"/>
          <w:color w:val="000000" w:themeColor="text1"/>
        </w:rPr>
        <w:t>w Polsce lub innym kraju UE</w:t>
      </w:r>
      <w:r w:rsidR="00FA107A" w:rsidRPr="00F92295">
        <w:rPr>
          <w:rFonts w:asciiTheme="minorHAnsi" w:hAnsiTheme="minorHAnsi" w:cstheme="minorHAnsi"/>
          <w:color w:val="000000" w:themeColor="text1"/>
        </w:rPr>
        <w:t xml:space="preserve"> i innych państw członkowskich UE oferujących</w:t>
      </w:r>
      <w:r w:rsidR="00F45653" w:rsidRPr="00F92295">
        <w:rPr>
          <w:rFonts w:asciiTheme="minorHAnsi" w:hAnsiTheme="minorHAnsi" w:cstheme="minorHAnsi"/>
          <w:color w:val="000000" w:themeColor="text1"/>
        </w:rPr>
        <w:t xml:space="preserve"> </w:t>
      </w:r>
      <w:r w:rsidR="003631FB" w:rsidRPr="00F92295">
        <w:rPr>
          <w:rFonts w:asciiTheme="minorHAnsi" w:hAnsiTheme="minorHAnsi" w:cstheme="minorHAnsi"/>
          <w:color w:val="000000" w:themeColor="text1"/>
        </w:rPr>
        <w:t xml:space="preserve">takie usługi. </w:t>
      </w:r>
    </w:p>
    <w:p w14:paraId="7E999605" w14:textId="77777777" w:rsidR="00FF7163" w:rsidRPr="00380B40" w:rsidRDefault="00FF7163" w:rsidP="007B47C0">
      <w:pPr>
        <w:pStyle w:val="Akapitzlist"/>
        <w:jc w:val="both"/>
      </w:pPr>
    </w:p>
    <w:p w14:paraId="269D4A41" w14:textId="17C07A82" w:rsidR="001F33E0" w:rsidRPr="00380B40" w:rsidRDefault="00B83282" w:rsidP="00E22555">
      <w:pPr>
        <w:jc w:val="both"/>
      </w:pPr>
      <w:r>
        <w:rPr>
          <w:rFonts w:asciiTheme="minorHAnsi" w:hAnsiTheme="minorHAnsi" w:cstheme="minorHAnsi"/>
          <w:color w:val="000000" w:themeColor="text1"/>
        </w:rPr>
        <w:lastRenderedPageBreak/>
        <w:t>Jeśli tak nie jest, d</w:t>
      </w:r>
      <w:r w:rsidR="003631FB" w:rsidRPr="00585808">
        <w:rPr>
          <w:rFonts w:asciiTheme="minorHAnsi" w:hAnsiTheme="minorHAnsi" w:cstheme="minorHAnsi"/>
          <w:color w:val="000000" w:themeColor="text1"/>
        </w:rPr>
        <w:t xml:space="preserve">ziałalność tych podmiotów nie jest uregulowana </w:t>
      </w:r>
      <w:r>
        <w:rPr>
          <w:rFonts w:asciiTheme="minorHAnsi" w:hAnsiTheme="minorHAnsi" w:cstheme="minorHAnsi"/>
          <w:color w:val="000000" w:themeColor="text1"/>
        </w:rPr>
        <w:t xml:space="preserve">i </w:t>
      </w:r>
      <w:r w:rsidR="003631FB" w:rsidRPr="00585808">
        <w:rPr>
          <w:rFonts w:asciiTheme="minorHAnsi" w:hAnsiTheme="minorHAnsi" w:cstheme="minorHAnsi"/>
          <w:color w:val="000000" w:themeColor="text1"/>
        </w:rPr>
        <w:t>nadzorowana w Polsce ani w</w:t>
      </w:r>
      <w:r w:rsidR="00E72506">
        <w:rPr>
          <w:rFonts w:asciiTheme="minorHAnsi" w:hAnsiTheme="minorHAnsi" w:cstheme="minorHAnsi"/>
          <w:color w:val="000000" w:themeColor="text1"/>
        </w:rPr>
        <w:t> </w:t>
      </w:r>
      <w:r w:rsidR="003631FB" w:rsidRPr="00585808">
        <w:rPr>
          <w:rFonts w:asciiTheme="minorHAnsi" w:hAnsiTheme="minorHAnsi" w:cstheme="minorHAnsi"/>
          <w:color w:val="000000" w:themeColor="text1"/>
        </w:rPr>
        <w:t>innym kraju UE</w:t>
      </w:r>
      <w:r>
        <w:rPr>
          <w:rFonts w:asciiTheme="minorHAnsi" w:hAnsiTheme="minorHAnsi" w:cstheme="minorHAnsi"/>
          <w:color w:val="000000" w:themeColor="text1"/>
        </w:rPr>
        <w:t>.</w:t>
      </w:r>
      <w:r w:rsidR="00E72506">
        <w:rPr>
          <w:rFonts w:asciiTheme="minorHAnsi" w:hAnsiTheme="minorHAnsi" w:cstheme="minorHAnsi"/>
          <w:color w:val="000000" w:themeColor="text1"/>
        </w:rPr>
        <w:t xml:space="preserve"> </w:t>
      </w:r>
      <w:r w:rsidR="002A4206">
        <w:rPr>
          <w:rFonts w:asciiTheme="minorHAnsi" w:hAnsiTheme="minorHAnsi" w:cstheme="minorHAnsi"/>
          <w:color w:val="000000" w:themeColor="text1"/>
        </w:rPr>
        <w:t xml:space="preserve">Te podmioty nie </w:t>
      </w:r>
      <w:r w:rsidR="00B578B9">
        <w:rPr>
          <w:rFonts w:asciiTheme="minorHAnsi" w:hAnsiTheme="minorHAnsi" w:cstheme="minorHAnsi"/>
          <w:color w:val="000000" w:themeColor="text1"/>
        </w:rPr>
        <w:t xml:space="preserve">mają obowiązku sprawozdawczego </w:t>
      </w:r>
      <w:r w:rsidR="003631FB" w:rsidRPr="00585808">
        <w:rPr>
          <w:rFonts w:asciiTheme="minorHAnsi" w:hAnsiTheme="minorHAnsi" w:cstheme="minorHAnsi"/>
          <w:color w:val="000000" w:themeColor="text1"/>
        </w:rPr>
        <w:t>zgodnie z wymogami ustawy z dnia 1</w:t>
      </w:r>
      <w:r w:rsidR="00E72506">
        <w:rPr>
          <w:rFonts w:asciiTheme="minorHAnsi" w:hAnsiTheme="minorHAnsi" w:cstheme="minorHAnsi"/>
          <w:color w:val="000000" w:themeColor="text1"/>
        </w:rPr>
        <w:t> </w:t>
      </w:r>
      <w:r w:rsidR="003631FB" w:rsidRPr="00585808">
        <w:rPr>
          <w:rFonts w:asciiTheme="minorHAnsi" w:hAnsiTheme="minorHAnsi" w:cstheme="minorHAnsi"/>
          <w:color w:val="000000" w:themeColor="text1"/>
        </w:rPr>
        <w:t>marca 2018 r. o przeciwdziałaniu praniu pieniędzy oraz finansowaniu</w:t>
      </w:r>
      <w:r w:rsidR="006A5570">
        <w:rPr>
          <w:rFonts w:asciiTheme="minorHAnsi" w:hAnsiTheme="minorHAnsi" w:cstheme="minorHAnsi"/>
          <w:color w:val="000000" w:themeColor="text1"/>
        </w:rPr>
        <w:t xml:space="preserve"> terroryzmu</w:t>
      </w:r>
      <w:r w:rsidR="003631FB" w:rsidRPr="00585808">
        <w:rPr>
          <w:rFonts w:asciiTheme="minorHAnsi" w:hAnsiTheme="minorHAnsi" w:cstheme="minorHAnsi"/>
          <w:color w:val="000000" w:themeColor="text1"/>
        </w:rPr>
        <w:t xml:space="preserve"> i nie podlegają pod przepisy tej ustawy. </w:t>
      </w:r>
      <w:bookmarkEnd w:id="0"/>
    </w:p>
    <w:p w14:paraId="35AC6E47" w14:textId="77777777" w:rsidR="00F45653" w:rsidRDefault="00F45653" w:rsidP="00E22555">
      <w:pPr>
        <w:jc w:val="both"/>
      </w:pPr>
    </w:p>
    <w:p w14:paraId="62E278CD" w14:textId="2530E9F3" w:rsidR="007562FD" w:rsidRDefault="001F33E0" w:rsidP="00E22555">
      <w:pPr>
        <w:jc w:val="both"/>
      </w:pPr>
      <w:r>
        <w:t>Dlatego</w:t>
      </w:r>
      <w:r w:rsidR="002A4206">
        <w:t>,</w:t>
      </w:r>
      <w:r w:rsidR="000E7BE2">
        <w:t xml:space="preserve"> zanim zacznie</w:t>
      </w:r>
      <w:r w:rsidR="002A4206">
        <w:t>sz</w:t>
      </w:r>
      <w:r w:rsidR="000E7BE2">
        <w:t xml:space="preserve"> inwestować</w:t>
      </w:r>
      <w:r w:rsidR="002A4206">
        <w:t>,</w:t>
      </w:r>
      <w:r w:rsidR="000E7BE2">
        <w:t xml:space="preserve"> </w:t>
      </w:r>
      <w:r w:rsidR="002A4206">
        <w:t>zapoznaj</w:t>
      </w:r>
      <w:r w:rsidR="000E7BE2">
        <w:t xml:space="preserve"> się ze wszystkim zasadami</w:t>
      </w:r>
      <w:r w:rsidR="002A4206">
        <w:t>,</w:t>
      </w:r>
      <w:r w:rsidR="000E7BE2">
        <w:t xml:space="preserve"> jakie dotyczą tego typu działalności</w:t>
      </w:r>
      <w:r w:rsidR="00E95F17">
        <w:t>, a szczególnie z</w:t>
      </w:r>
      <w:r w:rsidR="00AC2A5A">
        <w:t xml:space="preserve"> zasadami i regulaminami podmiot</w:t>
      </w:r>
      <w:r w:rsidR="00E95F17">
        <w:t>ów</w:t>
      </w:r>
      <w:r w:rsidR="00AC2A5A">
        <w:t xml:space="preserve"> pośrednicząc</w:t>
      </w:r>
      <w:r w:rsidR="00E95F17">
        <w:t>ych</w:t>
      </w:r>
      <w:r w:rsidR="00AC2A5A">
        <w:t xml:space="preserve"> w</w:t>
      </w:r>
      <w:r w:rsidR="00D56212">
        <w:t xml:space="preserve"> inwestowaniu</w:t>
      </w:r>
      <w:r w:rsidR="00AC2A5A">
        <w:t xml:space="preserve">. </w:t>
      </w:r>
      <w:r w:rsidR="007562FD">
        <w:t>Twoje podejrzenia powinno wzbudzić, jeśli w regulamin</w:t>
      </w:r>
      <w:r w:rsidR="00E461C5">
        <w:t>ie</w:t>
      </w:r>
      <w:r w:rsidR="007562FD">
        <w:t xml:space="preserve"> znajdziesz:</w:t>
      </w:r>
    </w:p>
    <w:p w14:paraId="608BC719" w14:textId="77777777" w:rsidR="00FF7163" w:rsidRDefault="00FF7163" w:rsidP="00E22555">
      <w:pPr>
        <w:jc w:val="both"/>
      </w:pPr>
    </w:p>
    <w:p w14:paraId="52BF398F" w14:textId="3AAE80D7" w:rsidR="007562FD" w:rsidRDefault="00AC2A5A" w:rsidP="00E22555">
      <w:pPr>
        <w:pStyle w:val="Akapitzlist"/>
        <w:numPr>
          <w:ilvl w:val="0"/>
          <w:numId w:val="9"/>
        </w:numPr>
        <w:jc w:val="both"/>
      </w:pPr>
      <w:r>
        <w:t xml:space="preserve">bardzo wysokie kwoty prowizji, </w:t>
      </w:r>
    </w:p>
    <w:p w14:paraId="1D2DB0E5" w14:textId="4C04E37D" w:rsidR="00E461C5" w:rsidRDefault="00E461C5" w:rsidP="00E22555">
      <w:pPr>
        <w:pStyle w:val="Akapitzlist"/>
        <w:numPr>
          <w:ilvl w:val="0"/>
          <w:numId w:val="9"/>
        </w:numPr>
        <w:jc w:val="both"/>
      </w:pPr>
      <w:r>
        <w:t>w</w:t>
      </w:r>
      <w:r w:rsidR="007562FD">
        <w:t xml:space="preserve">arunek </w:t>
      </w:r>
      <w:r w:rsidR="006A5570">
        <w:t>dokonywania ciągłych wpłat na rzecz kolejnych produktów</w:t>
      </w:r>
      <w:r w:rsidR="00AC2A5A">
        <w:t xml:space="preserve">, </w:t>
      </w:r>
    </w:p>
    <w:p w14:paraId="0CCCFF01" w14:textId="651D48E2" w:rsidR="00E461C5" w:rsidRDefault="00AC2A5A" w:rsidP="00E22555">
      <w:pPr>
        <w:pStyle w:val="Akapitzlist"/>
        <w:numPr>
          <w:ilvl w:val="0"/>
          <w:numId w:val="9"/>
        </w:numPr>
        <w:jc w:val="both"/>
      </w:pPr>
      <w:r>
        <w:t>obowią</w:t>
      </w:r>
      <w:r w:rsidR="001D71EF">
        <w:t>ze</w:t>
      </w:r>
      <w:r>
        <w:t>k uiszczania wysokich składek członkowskich</w:t>
      </w:r>
      <w:r w:rsidR="00E461C5">
        <w:t>.</w:t>
      </w:r>
    </w:p>
    <w:p w14:paraId="2F81E4BD" w14:textId="77777777" w:rsidR="00FF7163" w:rsidRDefault="00FF7163" w:rsidP="007B47C0">
      <w:pPr>
        <w:pStyle w:val="Akapitzlist"/>
        <w:jc w:val="both"/>
      </w:pPr>
    </w:p>
    <w:p w14:paraId="1B6A83D0" w14:textId="729815FD" w:rsidR="000B1B21" w:rsidRDefault="00627C98" w:rsidP="00E22555">
      <w:pPr>
        <w:jc w:val="both"/>
      </w:pPr>
      <w:r>
        <w:t>N</w:t>
      </w:r>
      <w:r w:rsidR="00AC2A5A">
        <w:t>iekiedy wypowiedzenie takiej</w:t>
      </w:r>
      <w:r w:rsidR="001D71EF">
        <w:t xml:space="preserve"> współpracy jest całkowicie niemożliwe, a chęć inwestycji przeobraża się w walkę o zachowanie ostatnich oszczędności</w:t>
      </w:r>
      <w:r w:rsidR="00D56212">
        <w:t xml:space="preserve">. </w:t>
      </w:r>
      <w:r w:rsidR="00FF7163">
        <w:t>Właśnie d</w:t>
      </w:r>
      <w:r w:rsidR="00D56212">
        <w:t>latego</w:t>
      </w:r>
      <w:r w:rsidR="009A0954">
        <w:t xml:space="preserve"> </w:t>
      </w:r>
      <w:r w:rsidR="00D56212">
        <w:t>w</w:t>
      </w:r>
      <w:r w:rsidR="009A0954">
        <w:t>arto upewnić się</w:t>
      </w:r>
      <w:r w:rsidR="000B1B21">
        <w:t xml:space="preserve">, czy dany podmiot </w:t>
      </w:r>
      <w:r w:rsidR="00E461C5">
        <w:t xml:space="preserve">ma </w:t>
      </w:r>
      <w:r w:rsidR="000B1B21">
        <w:t>zezwolenie KNF</w:t>
      </w:r>
      <w:r w:rsidR="00BD25B6">
        <w:t>.</w:t>
      </w:r>
      <w:r w:rsidR="00E72506">
        <w:t xml:space="preserve"> </w:t>
      </w:r>
      <w:r w:rsidR="000B1B21">
        <w:t xml:space="preserve">Wyszukiwarka podmiotów </w:t>
      </w:r>
      <w:r w:rsidR="00BD25B6">
        <w:t xml:space="preserve">znajduje </w:t>
      </w:r>
      <w:r w:rsidR="000B1B21">
        <w:t>się tutaj</w:t>
      </w:r>
      <w:r w:rsidR="00D56212">
        <w:t>:</w:t>
      </w:r>
      <w:r w:rsidR="00E72506">
        <w:t xml:space="preserve"> </w:t>
      </w:r>
    </w:p>
    <w:p w14:paraId="67DD579D" w14:textId="7FA23B48" w:rsidR="000B1B21" w:rsidRDefault="000E68F6" w:rsidP="00E22555">
      <w:pPr>
        <w:jc w:val="both"/>
        <w:rPr>
          <w:i/>
          <w:iCs/>
          <w:color w:val="4472C4" w:themeColor="accent1"/>
        </w:rPr>
      </w:pPr>
      <w:hyperlink r:id="rId8" w:history="1">
        <w:r w:rsidR="00095920" w:rsidRPr="00706E5C">
          <w:rPr>
            <w:rStyle w:val="Hipercze"/>
            <w:i/>
            <w:iCs/>
          </w:rPr>
          <w:t>https://www.knf.gov.pl/podmioty/wyszukiwarka_podmiotow</w:t>
        </w:r>
      </w:hyperlink>
    </w:p>
    <w:p w14:paraId="7BEB9FC4" w14:textId="77777777" w:rsidR="000B1B21" w:rsidRDefault="000B1B21" w:rsidP="00E22555">
      <w:pPr>
        <w:jc w:val="both"/>
      </w:pPr>
    </w:p>
    <w:p w14:paraId="3D648345" w14:textId="6E4C44C3" w:rsidR="00D56212" w:rsidRDefault="000B1B21" w:rsidP="00E22555">
      <w:pPr>
        <w:jc w:val="both"/>
      </w:pPr>
      <w:r>
        <w:t>Inwestując</w:t>
      </w:r>
      <w:r w:rsidR="00E461C5">
        <w:t>,</w:t>
      </w:r>
      <w:r>
        <w:t xml:space="preserve"> zachowaj zdrowy rozsądek!</w:t>
      </w:r>
      <w:r w:rsidR="00E72506">
        <w:t xml:space="preserve"> </w:t>
      </w:r>
      <w:r>
        <w:t>Twoją niewiedzę wykorzystują przestępcy, proponując r</w:t>
      </w:r>
      <w:r w:rsidRPr="000B1B21">
        <w:t>zekome ułatwienia w inwestowaniu na tych rynkach</w:t>
      </w:r>
      <w:r>
        <w:t>.</w:t>
      </w:r>
    </w:p>
    <w:p w14:paraId="07E27207" w14:textId="77777777" w:rsidR="00D56212" w:rsidRDefault="00D56212" w:rsidP="00E22555">
      <w:pPr>
        <w:jc w:val="both"/>
      </w:pPr>
    </w:p>
    <w:p w14:paraId="176951E2" w14:textId="52B7C0CA" w:rsidR="000E7BE2" w:rsidRDefault="000E7BE2" w:rsidP="00E22555">
      <w:pPr>
        <w:jc w:val="both"/>
        <w:rPr>
          <w:b/>
          <w:bCs/>
        </w:rPr>
      </w:pPr>
      <w:r>
        <w:rPr>
          <w:b/>
          <w:bCs/>
        </w:rPr>
        <w:t xml:space="preserve">Na co zwracać </w:t>
      </w:r>
      <w:r w:rsidR="00EC3171">
        <w:rPr>
          <w:b/>
          <w:bCs/>
        </w:rPr>
        <w:t xml:space="preserve">szczególną </w:t>
      </w:r>
      <w:r>
        <w:rPr>
          <w:b/>
          <w:bCs/>
        </w:rPr>
        <w:t>uwagę</w:t>
      </w:r>
      <w:r w:rsidR="00E22555">
        <w:rPr>
          <w:b/>
          <w:bCs/>
        </w:rPr>
        <w:t>?</w:t>
      </w:r>
    </w:p>
    <w:p w14:paraId="0853F984" w14:textId="77777777" w:rsidR="00D56212" w:rsidRPr="00B87656" w:rsidRDefault="00D56212" w:rsidP="00E22555">
      <w:pPr>
        <w:jc w:val="both"/>
        <w:rPr>
          <w:b/>
          <w:bCs/>
        </w:rPr>
      </w:pPr>
    </w:p>
    <w:p w14:paraId="3E771282" w14:textId="7EF6CF11" w:rsidR="000E7BE2" w:rsidRDefault="008E152F" w:rsidP="00E22555">
      <w:pPr>
        <w:jc w:val="both"/>
      </w:pPr>
      <w:r>
        <w:t xml:space="preserve">Różne scenariusze </w:t>
      </w:r>
      <w:r w:rsidR="000E7BE2">
        <w:t>tego typu wyłudze</w:t>
      </w:r>
      <w:r w:rsidR="00E461C5">
        <w:t xml:space="preserve">ń </w:t>
      </w:r>
      <w:r>
        <w:t>łączą</w:t>
      </w:r>
      <w:r w:rsidR="000E7BE2">
        <w:t xml:space="preserve"> wspólne elementy</w:t>
      </w:r>
      <w:r>
        <w:t xml:space="preserve">, które mają </w:t>
      </w:r>
      <w:r w:rsidR="000E7BE2">
        <w:t xml:space="preserve">zachęcić do szybkiego zarobku. Szczególnie ostrożnie </w:t>
      </w:r>
      <w:r>
        <w:t xml:space="preserve">podchodź </w:t>
      </w:r>
      <w:r w:rsidR="000E7BE2">
        <w:t>do ofert „brokerów” w</w:t>
      </w:r>
      <w:r w:rsidR="00647832">
        <w:t> </w:t>
      </w:r>
      <w:r w:rsidR="000E7BE2">
        <w:t>ogłoszeniach i materiałach reklamowych lub</w:t>
      </w:r>
      <w:r>
        <w:t xml:space="preserve"> kontaktach</w:t>
      </w:r>
      <w:r w:rsidR="00763859">
        <w:t>, zwłaszcza jeśli przeczytasz lub usłyszysz</w:t>
      </w:r>
      <w:r w:rsidR="000E7BE2">
        <w:t xml:space="preserve"> o:</w:t>
      </w:r>
    </w:p>
    <w:p w14:paraId="7023BE70" w14:textId="77777777" w:rsidR="00FF7163" w:rsidRDefault="00FF7163" w:rsidP="00E22555">
      <w:pPr>
        <w:jc w:val="both"/>
      </w:pPr>
    </w:p>
    <w:p w14:paraId="790DE309" w14:textId="21DE63C4" w:rsidR="000E7BE2" w:rsidRPr="00F71046" w:rsidRDefault="000E7BE2" w:rsidP="00E22555">
      <w:pPr>
        <w:pStyle w:val="Akapitzlist1"/>
        <w:numPr>
          <w:ilvl w:val="0"/>
          <w:numId w:val="1"/>
        </w:numPr>
        <w:ind w:left="426" w:hanging="426"/>
        <w:jc w:val="both"/>
      </w:pPr>
      <w:r w:rsidRPr="00F71046">
        <w:t>możliwości szybkich</w:t>
      </w:r>
      <w:r>
        <w:t xml:space="preserve"> i</w:t>
      </w:r>
      <w:r w:rsidRPr="00F71046">
        <w:t xml:space="preserve"> </w:t>
      </w:r>
      <w:r>
        <w:t xml:space="preserve">wysokich </w:t>
      </w:r>
      <w:r w:rsidRPr="00F71046">
        <w:t>zysków dzięki inwestycj</w:t>
      </w:r>
      <w:r>
        <w:t>i</w:t>
      </w:r>
      <w:r w:rsidRPr="00F71046">
        <w:t xml:space="preserve"> w kryptowaluty</w:t>
      </w:r>
      <w:r>
        <w:t xml:space="preserve"> lub na rynku Forex;</w:t>
      </w:r>
    </w:p>
    <w:p w14:paraId="24CBB9FF" w14:textId="5D72C479" w:rsidR="000E7BE2" w:rsidRPr="00F71046" w:rsidRDefault="000E7BE2" w:rsidP="00E22555">
      <w:pPr>
        <w:pStyle w:val="Akapitzlist1"/>
        <w:numPr>
          <w:ilvl w:val="0"/>
          <w:numId w:val="1"/>
        </w:numPr>
        <w:ind w:left="426" w:hanging="426"/>
        <w:jc w:val="both"/>
      </w:pPr>
      <w:r>
        <w:t>gwarancj</w:t>
      </w:r>
      <w:r w:rsidR="00763859">
        <w:t>i</w:t>
      </w:r>
      <w:r w:rsidRPr="00F71046">
        <w:t xml:space="preserve"> zysk</w:t>
      </w:r>
      <w:r w:rsidR="00763859">
        <w:t xml:space="preserve">u </w:t>
      </w:r>
      <w:r>
        <w:t>dla „każdego”</w:t>
      </w:r>
      <w:r w:rsidRPr="00F71046">
        <w:t>, bez względu na poziom wiedzy o rynkach finansowych;</w:t>
      </w:r>
    </w:p>
    <w:p w14:paraId="36AB2A81" w14:textId="58D29F2E" w:rsidR="000E7BE2" w:rsidRPr="00F71046" w:rsidRDefault="000E7BE2" w:rsidP="00E22555">
      <w:pPr>
        <w:pStyle w:val="Akapitzlist1"/>
        <w:numPr>
          <w:ilvl w:val="0"/>
          <w:numId w:val="1"/>
        </w:numPr>
        <w:ind w:left="426" w:hanging="426"/>
        <w:jc w:val="both"/>
      </w:pPr>
      <w:r>
        <w:t xml:space="preserve">pomocy </w:t>
      </w:r>
      <w:r w:rsidRPr="00F71046">
        <w:t xml:space="preserve">„brokera” i </w:t>
      </w:r>
      <w:r>
        <w:t xml:space="preserve">konieczności </w:t>
      </w:r>
      <w:r w:rsidRPr="00F71046">
        <w:t>pierwszej wpłaty (</w:t>
      </w:r>
      <w:r>
        <w:t xml:space="preserve">tzw. </w:t>
      </w:r>
      <w:r w:rsidRPr="00F71046">
        <w:t>opłaty rejestracyjnej);</w:t>
      </w:r>
    </w:p>
    <w:p w14:paraId="5F8A598C" w14:textId="654D6D78" w:rsidR="000E7BE2" w:rsidRPr="00F71046" w:rsidRDefault="000E7BE2" w:rsidP="00E22555">
      <w:pPr>
        <w:pStyle w:val="Akapitzlist1"/>
        <w:numPr>
          <w:ilvl w:val="0"/>
          <w:numId w:val="1"/>
        </w:numPr>
        <w:ind w:left="426" w:hanging="426"/>
        <w:jc w:val="both"/>
      </w:pPr>
      <w:r>
        <w:t xml:space="preserve">konieczności instalacji aplikacji (na komputerze lub telefonie), </w:t>
      </w:r>
      <w:r w:rsidR="00660377">
        <w:t xml:space="preserve">która </w:t>
      </w:r>
      <w:r w:rsidR="00E22555">
        <w:t>umożliwia</w:t>
      </w:r>
      <w:r w:rsidR="00E72506">
        <w:t xml:space="preserve"> </w:t>
      </w:r>
      <w:r w:rsidRPr="00F71046">
        <w:t>automatyzacj</w:t>
      </w:r>
      <w:r w:rsidR="00660377">
        <w:t>ę</w:t>
      </w:r>
      <w:r w:rsidRPr="00F71046">
        <w:t xml:space="preserve"> operacji związanej z kupnem i sprzedażą kryptowaluty</w:t>
      </w:r>
      <w:r>
        <w:t xml:space="preserve"> </w:t>
      </w:r>
      <w:bookmarkStart w:id="1" w:name="_Hlk44666762"/>
      <w:r>
        <w:t>lub operacji na rynku Forex</w:t>
      </w:r>
      <w:bookmarkEnd w:id="1"/>
      <w:r w:rsidRPr="00F71046">
        <w:t>;</w:t>
      </w:r>
    </w:p>
    <w:p w14:paraId="599A4306" w14:textId="10A81930" w:rsidR="000E7BE2" w:rsidRPr="00F71046" w:rsidRDefault="000E7BE2" w:rsidP="00E22555">
      <w:pPr>
        <w:pStyle w:val="Akapitzlist1"/>
        <w:numPr>
          <w:ilvl w:val="0"/>
          <w:numId w:val="1"/>
        </w:numPr>
        <w:ind w:left="426" w:hanging="426"/>
        <w:jc w:val="both"/>
      </w:pPr>
      <w:r>
        <w:t>wsparci</w:t>
      </w:r>
      <w:r w:rsidR="00FF7163">
        <w:t>u</w:t>
      </w:r>
      <w:r>
        <w:t xml:space="preserve"> telefoniczn</w:t>
      </w:r>
      <w:r w:rsidR="00FF7163">
        <w:t>ym</w:t>
      </w:r>
      <w:r>
        <w:t xml:space="preserve"> analityków w zakresie inwestycji </w:t>
      </w:r>
      <w:r w:rsidRPr="00F71046">
        <w:t>i obsłudze aplikacji</w:t>
      </w:r>
      <w:r>
        <w:t>;</w:t>
      </w:r>
    </w:p>
    <w:p w14:paraId="352D4076" w14:textId="4F90741C" w:rsidR="000E7BE2" w:rsidRDefault="000E7BE2" w:rsidP="00E22555">
      <w:pPr>
        <w:pStyle w:val="Akapitzlist1"/>
        <w:numPr>
          <w:ilvl w:val="0"/>
          <w:numId w:val="1"/>
        </w:numPr>
        <w:ind w:left="426" w:hanging="426"/>
        <w:jc w:val="both"/>
      </w:pPr>
      <w:r>
        <w:t>koniecznoś</w:t>
      </w:r>
      <w:r w:rsidR="00FF7163">
        <w:t>ci</w:t>
      </w:r>
      <w:r>
        <w:t xml:space="preserve"> przesłania „brokerowi” skanów </w:t>
      </w:r>
      <w:r w:rsidRPr="00F71046">
        <w:t>(zdję</w:t>
      </w:r>
      <w:r>
        <w:t>ć</w:t>
      </w:r>
      <w:r w:rsidRPr="00F71046">
        <w:t>) dokumentu tożsamości, selfie z</w:t>
      </w:r>
      <w:r w:rsidR="00FF5020">
        <w:t> </w:t>
      </w:r>
      <w:r w:rsidRPr="00F71046">
        <w:t>dokumentem tożsamości czy bieżącego rachunku w celu potwierdzenia tożsamości</w:t>
      </w:r>
      <w:r>
        <w:t>.</w:t>
      </w:r>
    </w:p>
    <w:p w14:paraId="31AF2647" w14:textId="275C3E99" w:rsidR="00FA107A" w:rsidRDefault="00FA107A" w:rsidP="00E22555">
      <w:pPr>
        <w:pStyle w:val="Akapitzlist1"/>
        <w:jc w:val="both"/>
      </w:pPr>
    </w:p>
    <w:p w14:paraId="18DA2E07" w14:textId="73C330E8" w:rsidR="00FA107A" w:rsidRDefault="00FA107A" w:rsidP="00E22555">
      <w:pPr>
        <w:jc w:val="both"/>
        <w:rPr>
          <w:color w:val="000000" w:themeColor="text1"/>
        </w:rPr>
      </w:pPr>
      <w:bookmarkStart w:id="2" w:name="_Hlk63700348"/>
      <w:r w:rsidRPr="005A6DBB">
        <w:rPr>
          <w:color w:val="000000" w:themeColor="text1"/>
        </w:rPr>
        <w:t>Pamiętaj, nie bagatelizuj telefonów i wi</w:t>
      </w:r>
      <w:r w:rsidR="00660377">
        <w:rPr>
          <w:color w:val="000000" w:themeColor="text1"/>
        </w:rPr>
        <w:t>a</w:t>
      </w:r>
      <w:r w:rsidRPr="005A6DBB">
        <w:rPr>
          <w:color w:val="000000" w:themeColor="text1"/>
        </w:rPr>
        <w:t xml:space="preserve">domości z </w:t>
      </w:r>
      <w:r w:rsidR="00660377">
        <w:rPr>
          <w:color w:val="000000" w:themeColor="text1"/>
        </w:rPr>
        <w:t>T</w:t>
      </w:r>
      <w:r w:rsidR="00660377" w:rsidRPr="005A6DBB">
        <w:rPr>
          <w:color w:val="000000" w:themeColor="text1"/>
        </w:rPr>
        <w:t xml:space="preserve">wojego </w:t>
      </w:r>
      <w:r w:rsidRPr="005A6DBB">
        <w:rPr>
          <w:color w:val="000000" w:themeColor="text1"/>
        </w:rPr>
        <w:t>banku, który próbuje uniemożliwić transakcj</w:t>
      </w:r>
      <w:r w:rsidR="00660377">
        <w:rPr>
          <w:color w:val="000000" w:themeColor="text1"/>
        </w:rPr>
        <w:t>e</w:t>
      </w:r>
      <w:r w:rsidRPr="005A6DBB">
        <w:rPr>
          <w:color w:val="000000" w:themeColor="text1"/>
        </w:rPr>
        <w:t xml:space="preserve"> </w:t>
      </w:r>
      <w:r w:rsidR="00660377" w:rsidRPr="005A6DBB">
        <w:rPr>
          <w:color w:val="000000" w:themeColor="text1"/>
        </w:rPr>
        <w:t>powiązan</w:t>
      </w:r>
      <w:r w:rsidR="00660377">
        <w:rPr>
          <w:color w:val="000000" w:themeColor="text1"/>
        </w:rPr>
        <w:t>e</w:t>
      </w:r>
      <w:r w:rsidR="00660377" w:rsidRPr="005A6DBB">
        <w:rPr>
          <w:color w:val="000000" w:themeColor="text1"/>
        </w:rPr>
        <w:t xml:space="preserve"> </w:t>
      </w:r>
      <w:r w:rsidRPr="005A6DBB">
        <w:rPr>
          <w:color w:val="000000" w:themeColor="text1"/>
        </w:rPr>
        <w:t xml:space="preserve">z wyłudzeniami. Zdarzają się przypadki, w których klienci mimo interwencji ze strony banku </w:t>
      </w:r>
      <w:r w:rsidR="00660377">
        <w:rPr>
          <w:color w:val="000000" w:themeColor="text1"/>
        </w:rPr>
        <w:t>realizują</w:t>
      </w:r>
      <w:r w:rsidRPr="005A6DBB">
        <w:rPr>
          <w:color w:val="000000" w:themeColor="text1"/>
        </w:rPr>
        <w:t xml:space="preserve"> trans</w:t>
      </w:r>
      <w:r w:rsidR="003631FB" w:rsidRPr="005A6DBB">
        <w:rPr>
          <w:color w:val="000000" w:themeColor="text1"/>
        </w:rPr>
        <w:t>akcj</w:t>
      </w:r>
      <w:r w:rsidR="00660377">
        <w:rPr>
          <w:color w:val="000000" w:themeColor="text1"/>
        </w:rPr>
        <w:t>ę</w:t>
      </w:r>
      <w:r w:rsidR="003631FB" w:rsidRPr="005A6DBB">
        <w:rPr>
          <w:color w:val="000000" w:themeColor="text1"/>
        </w:rPr>
        <w:t>.</w:t>
      </w:r>
    </w:p>
    <w:p w14:paraId="6C5915C2" w14:textId="77777777" w:rsidR="00FF7163" w:rsidRPr="005A6DBB" w:rsidRDefault="00FF7163" w:rsidP="00E22555">
      <w:pPr>
        <w:jc w:val="both"/>
        <w:rPr>
          <w:color w:val="000000" w:themeColor="text1"/>
        </w:rPr>
      </w:pPr>
    </w:p>
    <w:bookmarkEnd w:id="2"/>
    <w:p w14:paraId="240EC8A2" w14:textId="255C8CCD" w:rsidR="000E7BE2" w:rsidRPr="00F838CB" w:rsidRDefault="00B13160" w:rsidP="00E2255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Zachowaj </w:t>
      </w:r>
      <w:r w:rsidR="000E7BE2">
        <w:rPr>
          <w:b/>
          <w:bCs/>
        </w:rPr>
        <w:t>czujn</w:t>
      </w:r>
      <w:r>
        <w:rPr>
          <w:b/>
          <w:bCs/>
        </w:rPr>
        <w:t>ość</w:t>
      </w:r>
      <w:r w:rsidR="000E7BE2">
        <w:rPr>
          <w:b/>
          <w:bCs/>
        </w:rPr>
        <w:t xml:space="preserve">. </w:t>
      </w:r>
      <w:r w:rsidR="000E7BE2" w:rsidRPr="00F838CB">
        <w:rPr>
          <w:b/>
          <w:bCs/>
        </w:rPr>
        <w:t>Zastanów się chwilę</w:t>
      </w:r>
      <w:r w:rsidR="000E7BE2" w:rsidRPr="00F71046">
        <w:t>.</w:t>
      </w:r>
      <w:r w:rsidR="000E7BE2" w:rsidRPr="00F838CB">
        <w:rPr>
          <w:b/>
          <w:bCs/>
        </w:rPr>
        <w:t xml:space="preserve"> Nie ulegaj presji, </w:t>
      </w:r>
      <w:r w:rsidR="00B578B9">
        <w:rPr>
          <w:b/>
          <w:bCs/>
        </w:rPr>
        <w:t xml:space="preserve">uważaj na </w:t>
      </w:r>
      <w:r w:rsidR="000E7BE2" w:rsidRPr="00F838CB">
        <w:rPr>
          <w:b/>
          <w:bCs/>
        </w:rPr>
        <w:t>pozornie atrakcyjn</w:t>
      </w:r>
      <w:r w:rsidR="00B578B9">
        <w:rPr>
          <w:b/>
          <w:bCs/>
        </w:rPr>
        <w:t>e</w:t>
      </w:r>
      <w:r w:rsidR="000E7BE2" w:rsidRPr="00F838CB">
        <w:rPr>
          <w:b/>
          <w:bCs/>
        </w:rPr>
        <w:t xml:space="preserve"> ofert</w:t>
      </w:r>
      <w:r w:rsidR="00B578B9">
        <w:rPr>
          <w:b/>
          <w:bCs/>
        </w:rPr>
        <w:t>y</w:t>
      </w:r>
      <w:r w:rsidR="00BD25B6">
        <w:rPr>
          <w:b/>
          <w:bCs/>
        </w:rPr>
        <w:t xml:space="preserve"> -</w:t>
      </w:r>
      <w:r w:rsidR="000E7BE2" w:rsidRPr="00BC5EB3">
        <w:t xml:space="preserve"> bezwzględnie </w:t>
      </w:r>
      <w:r w:rsidR="000E7BE2" w:rsidRPr="00F838CB">
        <w:rPr>
          <w:b/>
          <w:bCs/>
        </w:rPr>
        <w:t>nie działaj pod wpływem chwili.</w:t>
      </w:r>
      <w:r w:rsidR="000E7BE2">
        <w:rPr>
          <w:b/>
          <w:bCs/>
        </w:rPr>
        <w:t xml:space="preserve"> </w:t>
      </w:r>
      <w:r>
        <w:t>Miej świadomość,</w:t>
      </w:r>
      <w:r w:rsidR="000E7BE2" w:rsidRPr="00BC5EB3">
        <w:t xml:space="preserve"> co robisz</w:t>
      </w:r>
      <w:r w:rsidR="00BD25B6">
        <w:t>.</w:t>
      </w:r>
    </w:p>
    <w:p w14:paraId="6633B98E" w14:textId="77777777" w:rsidR="000E7BE2" w:rsidRDefault="000E7BE2" w:rsidP="00E22555">
      <w:pPr>
        <w:jc w:val="both"/>
      </w:pPr>
    </w:p>
    <w:p w14:paraId="6BF2EEEF" w14:textId="77777777" w:rsidR="00FF7163" w:rsidRDefault="00FF7163" w:rsidP="00E22555">
      <w:pPr>
        <w:jc w:val="both"/>
        <w:rPr>
          <w:b/>
          <w:bCs/>
        </w:rPr>
      </w:pPr>
    </w:p>
    <w:p w14:paraId="69625A18" w14:textId="61C54706" w:rsidR="000E7BE2" w:rsidRPr="00B87656" w:rsidRDefault="000E7BE2" w:rsidP="00E22555">
      <w:pPr>
        <w:jc w:val="both"/>
        <w:rPr>
          <w:b/>
          <w:bCs/>
        </w:rPr>
      </w:pPr>
      <w:r w:rsidRPr="00B87656">
        <w:rPr>
          <w:b/>
          <w:bCs/>
        </w:rPr>
        <w:t>Jak wygląda atak</w:t>
      </w:r>
      <w:r w:rsidR="00FF7163">
        <w:rPr>
          <w:b/>
          <w:bCs/>
        </w:rPr>
        <w:t>?</w:t>
      </w:r>
    </w:p>
    <w:p w14:paraId="7D273EEE" w14:textId="77777777" w:rsidR="000E7BE2" w:rsidRDefault="000E7BE2" w:rsidP="00E22555">
      <w:pPr>
        <w:jc w:val="both"/>
      </w:pPr>
    </w:p>
    <w:p w14:paraId="65A62619" w14:textId="77777777" w:rsidR="000E7BE2" w:rsidRPr="00B87656" w:rsidRDefault="003D64AC" w:rsidP="00E22555">
      <w:pPr>
        <w:jc w:val="both"/>
        <w:rPr>
          <w:b/>
          <w:bCs/>
        </w:rPr>
      </w:pPr>
      <w:r w:rsidRPr="00B87656">
        <w:rPr>
          <w:b/>
          <w:bCs/>
        </w:rPr>
        <w:t xml:space="preserve">- </w:t>
      </w:r>
      <w:r>
        <w:rPr>
          <w:b/>
          <w:bCs/>
        </w:rPr>
        <w:t>ZACHĘCANIE</w:t>
      </w:r>
      <w:r w:rsidRPr="00B87656">
        <w:rPr>
          <w:b/>
          <w:bCs/>
        </w:rPr>
        <w:t xml:space="preserve"> -</w:t>
      </w:r>
    </w:p>
    <w:p w14:paraId="0865C64F" w14:textId="6842A94A" w:rsidR="00DA441E" w:rsidRDefault="000E7BE2" w:rsidP="00E22555">
      <w:pPr>
        <w:jc w:val="both"/>
      </w:pPr>
      <w:r>
        <w:lastRenderedPageBreak/>
        <w:t xml:space="preserve">Wyłudzeń dokonują osoby podające się za tzw. „brokerów” inwestycyjnych – pracowników firm zajmujących się pośrednictwem i doradztwem inwestycyjnym. </w:t>
      </w:r>
    </w:p>
    <w:p w14:paraId="60655C3D" w14:textId="77777777" w:rsidR="00FF7163" w:rsidRDefault="00FF7163" w:rsidP="00E22555">
      <w:pPr>
        <w:jc w:val="both"/>
      </w:pPr>
    </w:p>
    <w:p w14:paraId="44587253" w14:textId="77777777" w:rsidR="00DA441E" w:rsidRDefault="00DA441E" w:rsidP="00E22555">
      <w:pPr>
        <w:jc w:val="both"/>
      </w:pPr>
      <w:r>
        <w:t>Działa to w poniższy sposób:</w:t>
      </w:r>
    </w:p>
    <w:p w14:paraId="123E0927" w14:textId="77777777" w:rsidR="001F1805" w:rsidRDefault="00FF7163" w:rsidP="00E22555">
      <w:pPr>
        <w:pStyle w:val="Akapitzlist"/>
        <w:numPr>
          <w:ilvl w:val="0"/>
          <w:numId w:val="10"/>
        </w:numPr>
        <w:jc w:val="both"/>
      </w:pPr>
      <w:r>
        <w:t>O</w:t>
      </w:r>
      <w:r w:rsidR="00DA441E">
        <w:t xml:space="preserve">szukańcze firmy </w:t>
      </w:r>
      <w:r w:rsidR="000E7BE2">
        <w:t>ogłaszają swoje usługi za pomocą reklam w mediach społecznościowych, serwisach internetowych oraz aplikacjach mobilnych.</w:t>
      </w:r>
    </w:p>
    <w:p w14:paraId="243ED276" w14:textId="25E9BB08" w:rsidR="00DA441E" w:rsidRDefault="001F1805" w:rsidP="00E22555">
      <w:pPr>
        <w:pStyle w:val="Akapitzlist"/>
        <w:numPr>
          <w:ilvl w:val="0"/>
          <w:numId w:val="10"/>
        </w:numPr>
        <w:jc w:val="both"/>
      </w:pPr>
      <w:r>
        <w:t>Osoba zwabiona tymi komunikatami udostępnia w tych mediach swoje dane kontaktowe, które przestępcy wykorzystują następnie do nawiązania kontaktu z przyszł</w:t>
      </w:r>
      <w:r w:rsidR="00BF5484">
        <w:t>ym poszkodowanym</w:t>
      </w:r>
      <w:r>
        <w:t>.</w:t>
      </w:r>
      <w:r w:rsidR="000E7BE2">
        <w:t xml:space="preserve"> </w:t>
      </w:r>
    </w:p>
    <w:p w14:paraId="64F8CF10" w14:textId="22744D84" w:rsidR="00DA441E" w:rsidRDefault="000E7BE2" w:rsidP="00E22555">
      <w:pPr>
        <w:pStyle w:val="Akapitzlist"/>
        <w:numPr>
          <w:ilvl w:val="0"/>
          <w:numId w:val="10"/>
        </w:numPr>
        <w:jc w:val="both"/>
      </w:pPr>
      <w:r>
        <w:t xml:space="preserve">Dla przyciągnięcia uwagi i uwiarygodnienia treści w reklamach </w:t>
      </w:r>
      <w:r w:rsidR="00DA441E">
        <w:t xml:space="preserve">wykorzystują </w:t>
      </w:r>
      <w:r>
        <w:t>wizerunki</w:t>
      </w:r>
      <w:r w:rsidR="00DA441E">
        <w:t>:</w:t>
      </w:r>
    </w:p>
    <w:p w14:paraId="3A454BC3" w14:textId="29C1FEAE" w:rsidR="00DA441E" w:rsidRDefault="000E7BE2" w:rsidP="00E22555">
      <w:pPr>
        <w:pStyle w:val="Akapitzlist"/>
        <w:numPr>
          <w:ilvl w:val="1"/>
          <w:numId w:val="10"/>
        </w:numPr>
        <w:jc w:val="both"/>
      </w:pPr>
      <w:r>
        <w:t>„przeciętnego Kowalskiego”, który szybko zyskał dzięki współpracy z</w:t>
      </w:r>
      <w:r w:rsidR="00E72506">
        <w:t> </w:t>
      </w:r>
      <w:r>
        <w:t>„pośrednikiem”, lub</w:t>
      </w:r>
      <w:r w:rsidR="00FF7163">
        <w:t>:</w:t>
      </w:r>
      <w:r>
        <w:t xml:space="preserve"> </w:t>
      </w:r>
    </w:p>
    <w:p w14:paraId="47B1B6F7" w14:textId="44B63C2D" w:rsidR="00DA441E" w:rsidRDefault="000E7BE2" w:rsidP="00E22555">
      <w:pPr>
        <w:pStyle w:val="Akapitzlist"/>
        <w:numPr>
          <w:ilvl w:val="1"/>
          <w:numId w:val="10"/>
        </w:numPr>
        <w:jc w:val="both"/>
      </w:pPr>
      <w:r>
        <w:t>powszechnie znanych i rozpoznawalnych osób, (sportowców, polityków, aktorów, dziennikarzy, celebrytów) bez ich wiedzy i zgody, a</w:t>
      </w:r>
      <w:r w:rsidR="00FF5020">
        <w:t> </w:t>
      </w:r>
      <w:r>
        <w:t xml:space="preserve">przekaz jest zmanipulowany. </w:t>
      </w:r>
    </w:p>
    <w:p w14:paraId="6A3D06F7" w14:textId="3BE63B1A" w:rsidR="0061334B" w:rsidRDefault="000E7BE2" w:rsidP="00E22555">
      <w:pPr>
        <w:pStyle w:val="Akapitzlist"/>
        <w:numPr>
          <w:ilvl w:val="0"/>
          <w:numId w:val="10"/>
        </w:numPr>
        <w:jc w:val="both"/>
      </w:pPr>
      <w:r>
        <w:t xml:space="preserve">Dzięki współpracy z „brokerem” klienci mają rzekomo osiągać w prosty sposób bardzo </w:t>
      </w:r>
      <w:r w:rsidR="00B578B9">
        <w:t xml:space="preserve">szybkie i </w:t>
      </w:r>
      <w:r>
        <w:t xml:space="preserve">duże zyski. Znane osoby „ujawniają” to przypadkowo np. podczas programów telewizyjnych czy wywiadów. Opisują to sfabrykowane artykuły wykorzystujące wizerunki znanych osób skopiowane z prawdziwych audycji, dotyczących zupełnie innych tematów. Same artykuły podszywają się pod poczytne tytuły prasowe czy serwisy informacyjne. </w:t>
      </w:r>
    </w:p>
    <w:p w14:paraId="32106DD1" w14:textId="60EBBECD" w:rsidR="000E7BE2" w:rsidRDefault="000E7BE2" w:rsidP="00E22555">
      <w:pPr>
        <w:pStyle w:val="Akapitzlist"/>
        <w:numPr>
          <w:ilvl w:val="0"/>
          <w:numId w:val="10"/>
        </w:numPr>
        <w:jc w:val="both"/>
      </w:pPr>
      <w:r>
        <w:t>Czasami „broker”</w:t>
      </w:r>
      <w:r w:rsidR="00B578B9">
        <w:t>,</w:t>
      </w:r>
      <w:r>
        <w:t xml:space="preserve"> reklamując swoje usługi</w:t>
      </w:r>
      <w:r w:rsidR="00B578B9">
        <w:t>,</w:t>
      </w:r>
      <w:r>
        <w:t xml:space="preserve"> powołuj</w:t>
      </w:r>
      <w:r w:rsidR="00B578B9">
        <w:t>e</w:t>
      </w:r>
      <w:r>
        <w:t xml:space="preserve"> się również na rzekomą współpracę z</w:t>
      </w:r>
      <w:r w:rsidR="00E72506">
        <w:t> </w:t>
      </w:r>
      <w:r>
        <w:t xml:space="preserve">konkretną instytucją finansową. Takie artykuły mogą być później masowo propagowane </w:t>
      </w:r>
      <w:r w:rsidR="00B578B9">
        <w:t xml:space="preserve">i udostępniane </w:t>
      </w:r>
      <w:r>
        <w:t xml:space="preserve">w serwisach społecznościowych, np. </w:t>
      </w:r>
      <w:r w:rsidR="007F6065">
        <w:t>na Facebook</w:t>
      </w:r>
      <w:r w:rsidR="00EC2979">
        <w:t>-</w:t>
      </w:r>
      <w:r w:rsidR="007F6065">
        <w:t>u</w:t>
      </w:r>
      <w:r>
        <w:t xml:space="preserve">. Informacje tego typu są często nieprawdziwe </w:t>
      </w:r>
      <w:r w:rsidR="00B578B9">
        <w:t xml:space="preserve">i </w:t>
      </w:r>
      <w:r>
        <w:t>manipul</w:t>
      </w:r>
      <w:r w:rsidR="00B578B9">
        <w:t xml:space="preserve">ują </w:t>
      </w:r>
      <w:r w:rsidR="007F6065">
        <w:t>odbiorcami.</w:t>
      </w:r>
      <w:r>
        <w:t xml:space="preserve"> </w:t>
      </w:r>
    </w:p>
    <w:p w14:paraId="44D5EAD6" w14:textId="77777777" w:rsidR="00FF7163" w:rsidRDefault="00FF7163" w:rsidP="00343FC8">
      <w:pPr>
        <w:pStyle w:val="Akapitzlist"/>
        <w:jc w:val="both"/>
      </w:pPr>
    </w:p>
    <w:p w14:paraId="3B51B182" w14:textId="2B0C8553" w:rsidR="000E7BE2" w:rsidRDefault="000E7BE2" w:rsidP="00E22555">
      <w:pPr>
        <w:jc w:val="both"/>
      </w:pPr>
      <w:r>
        <w:t xml:space="preserve">Cel tych działań jest jeden - </w:t>
      </w:r>
      <w:r w:rsidR="007F6065">
        <w:t>zwabić przyszłego</w:t>
      </w:r>
      <w:r w:rsidR="00BF5484">
        <w:t xml:space="preserve"> pokrzywdzonego</w:t>
      </w:r>
      <w:r>
        <w:t>, klienta banku</w:t>
      </w:r>
      <w:r w:rsidR="00BD25B6">
        <w:t>,</w:t>
      </w:r>
      <w:r>
        <w:t xml:space="preserve"> wizją szybkiego zarobku i zachęcić do wypełnienia formularza kontaktowego. </w:t>
      </w:r>
    </w:p>
    <w:p w14:paraId="4813A61D" w14:textId="77777777" w:rsidR="000E7BE2" w:rsidRDefault="000E7BE2" w:rsidP="00E22555">
      <w:pPr>
        <w:jc w:val="both"/>
      </w:pPr>
    </w:p>
    <w:p w14:paraId="34D870DD" w14:textId="0ECEBFF3" w:rsidR="000E7BE2" w:rsidRPr="00B87656" w:rsidRDefault="003D64AC" w:rsidP="00E22555">
      <w:pPr>
        <w:jc w:val="both"/>
        <w:rPr>
          <w:b/>
          <w:bCs/>
        </w:rPr>
      </w:pPr>
      <w:r w:rsidRPr="00B87656">
        <w:rPr>
          <w:b/>
          <w:bCs/>
        </w:rPr>
        <w:t xml:space="preserve">- MANIPULACJA </w:t>
      </w:r>
      <w:r w:rsidR="006E328F">
        <w:rPr>
          <w:b/>
          <w:bCs/>
        </w:rPr>
        <w:t>KLIENTEM</w:t>
      </w:r>
      <w:r w:rsidR="006E328F" w:rsidRPr="00B87656">
        <w:rPr>
          <w:b/>
          <w:bCs/>
        </w:rPr>
        <w:t xml:space="preserve"> </w:t>
      </w:r>
      <w:r>
        <w:rPr>
          <w:b/>
          <w:bCs/>
        </w:rPr>
        <w:t xml:space="preserve">I PROWADZENIE ATAKU </w:t>
      </w:r>
      <w:r w:rsidRPr="00B87656">
        <w:rPr>
          <w:b/>
          <w:bCs/>
        </w:rPr>
        <w:t>-</w:t>
      </w:r>
    </w:p>
    <w:p w14:paraId="175B23F3" w14:textId="2CA67823" w:rsidR="00F52729" w:rsidRDefault="000E7BE2" w:rsidP="00E22555">
      <w:pPr>
        <w:jc w:val="both"/>
      </w:pPr>
      <w:r>
        <w:t>W kolejnym kroku</w:t>
      </w:r>
      <w:r w:rsidR="00FF7163">
        <w:t>,</w:t>
      </w:r>
      <w:r>
        <w:t xml:space="preserve"> z </w:t>
      </w:r>
      <w:r w:rsidR="006E328F">
        <w:t xml:space="preserve">pokrzywdzonym </w:t>
      </w:r>
      <w:r>
        <w:t>kontaktuje się telefonicznie przedstawiciel „brokera”, podający się za „analityka”. Mogą to być osoby posługujące się „wschodnim akcentem”.</w:t>
      </w:r>
      <w:r w:rsidR="00E72506">
        <w:t xml:space="preserve"> </w:t>
      </w:r>
    </w:p>
    <w:p w14:paraId="0F284A97" w14:textId="77777777" w:rsidR="00BD25B6" w:rsidRDefault="00BD25B6" w:rsidP="00E22555">
      <w:pPr>
        <w:jc w:val="both"/>
      </w:pPr>
    </w:p>
    <w:p w14:paraId="6CD388D1" w14:textId="17FAE4CD" w:rsidR="00F52729" w:rsidRDefault="00F52729" w:rsidP="00E22555">
      <w:pPr>
        <w:jc w:val="both"/>
      </w:pPr>
      <w:r>
        <w:t>W trakcie kontaktu:</w:t>
      </w:r>
    </w:p>
    <w:p w14:paraId="30EBAA73" w14:textId="4F03B7B5" w:rsidR="00671AED" w:rsidRDefault="00F52729" w:rsidP="00E22555">
      <w:pPr>
        <w:pStyle w:val="Akapitzlist"/>
        <w:numPr>
          <w:ilvl w:val="0"/>
          <w:numId w:val="11"/>
        </w:numPr>
        <w:jc w:val="both"/>
      </w:pPr>
      <w:r>
        <w:t>„</w:t>
      </w:r>
      <w:r w:rsidR="00B578B9">
        <w:t>A</w:t>
      </w:r>
      <w:r>
        <w:t xml:space="preserve">nalityk” namawia </w:t>
      </w:r>
      <w:r w:rsidR="006E328F">
        <w:t>klienta</w:t>
      </w:r>
      <w:r>
        <w:t xml:space="preserve">, aby przekazał </w:t>
      </w:r>
      <w:r w:rsidR="000E7BE2">
        <w:t>opłat</w:t>
      </w:r>
      <w:r>
        <w:t>ę</w:t>
      </w:r>
      <w:r w:rsidR="000E7BE2">
        <w:t xml:space="preserve"> rejestracyjn</w:t>
      </w:r>
      <w:r w:rsidR="00671AED">
        <w:t>ą</w:t>
      </w:r>
      <w:r w:rsidR="000E7BE2">
        <w:t xml:space="preserve"> np. w wysokości 250 EUR, często </w:t>
      </w:r>
      <w:r w:rsidR="00BD25B6">
        <w:t xml:space="preserve">rozbitą </w:t>
      </w:r>
      <w:r w:rsidR="000E7BE2">
        <w:t>na transze.</w:t>
      </w:r>
    </w:p>
    <w:p w14:paraId="5DA155BD" w14:textId="287053D5" w:rsidR="00827903" w:rsidRDefault="00827903" w:rsidP="00E22555">
      <w:pPr>
        <w:pStyle w:val="Akapitzlist"/>
        <w:numPr>
          <w:ilvl w:val="0"/>
          <w:numId w:val="11"/>
        </w:numPr>
        <w:jc w:val="both"/>
      </w:pPr>
      <w:r>
        <w:t xml:space="preserve">Aby zwiększyć swoją skuteczność, „analitycy” namawiają również do instalacji programów umożliwiających dzwoniącej osobie zdalny dostęp do urządzenia </w:t>
      </w:r>
      <w:r w:rsidR="006E328F">
        <w:t>pokrzywdzonego</w:t>
      </w:r>
      <w:r>
        <w:t xml:space="preserve">. Ma to rzekomo pomóc w wyjaśnieniu i pokazaniu, jak działa aplikacja do inwestowania oraz w obsłudze zleceń. W rzeczywistości instalowane jest oprogramowanie umożliwiające zdalną kontrolę urządzenia </w:t>
      </w:r>
      <w:r w:rsidR="006E328F">
        <w:t>pokrzywdzonego</w:t>
      </w:r>
      <w:r>
        <w:t xml:space="preserve">. Pod pozorem tej pomocy pseudo „analitycy” pozyskują od </w:t>
      </w:r>
      <w:r w:rsidR="006E328F">
        <w:t xml:space="preserve">klientów </w:t>
      </w:r>
      <w:r>
        <w:t>wrażliwe dane</w:t>
      </w:r>
      <w:r w:rsidR="00BD25B6">
        <w:t>,</w:t>
      </w:r>
      <w:r>
        <w:t xml:space="preserve"> między innymi dotyczące kart płatniczych czy umożliwiające dostęp do bankowości elektronicznej</w:t>
      </w:r>
      <w:r w:rsidR="00B578B9">
        <w:t>.</w:t>
      </w:r>
    </w:p>
    <w:p w14:paraId="5B7B1BAA" w14:textId="5CAB708C" w:rsidR="00BB2AD4" w:rsidRDefault="00B578B9" w:rsidP="00E22555">
      <w:pPr>
        <w:pStyle w:val="Akapitzlist"/>
        <w:numPr>
          <w:ilvl w:val="0"/>
          <w:numId w:val="11"/>
        </w:numPr>
        <w:jc w:val="both"/>
      </w:pPr>
      <w:r>
        <w:t>P</w:t>
      </w:r>
      <w:r w:rsidR="00827903">
        <w:t xml:space="preserve">rzestępcy mogą również </w:t>
      </w:r>
      <w:r w:rsidR="00BD25B6">
        <w:t>informować, że będą</w:t>
      </w:r>
      <w:r w:rsidR="00BB2AD4">
        <w:t xml:space="preserve"> w</w:t>
      </w:r>
      <w:r w:rsidR="00EC2979">
        <w:t>y</w:t>
      </w:r>
      <w:r w:rsidR="00BB2AD4">
        <w:t>płacać zwrot z inwestycji</w:t>
      </w:r>
      <w:r w:rsidR="00E72506">
        <w:t xml:space="preserve"> </w:t>
      </w:r>
      <w:r w:rsidR="008930CD">
        <w:t>bezpośrednio na kartę klienta</w:t>
      </w:r>
      <w:r w:rsidR="00BB2AD4">
        <w:t>. Proszą</w:t>
      </w:r>
      <w:r w:rsidR="00BD25B6">
        <w:t xml:space="preserve"> </w:t>
      </w:r>
      <w:r w:rsidR="001F1805">
        <w:t>pod</w:t>
      </w:r>
      <w:r w:rsidR="00BD25B6">
        <w:t xml:space="preserve"> tym pretekstem</w:t>
      </w:r>
      <w:r w:rsidR="00BB2AD4">
        <w:t xml:space="preserve"> </w:t>
      </w:r>
      <w:r w:rsidR="008930CD">
        <w:t>o podanie szczegółowych danych kar</w:t>
      </w:r>
      <w:r>
        <w:t>t</w:t>
      </w:r>
      <w:r w:rsidR="008930CD">
        <w:t>y</w:t>
      </w:r>
      <w:r w:rsidR="00BB2AD4">
        <w:t xml:space="preserve">. </w:t>
      </w:r>
    </w:p>
    <w:p w14:paraId="274898E2" w14:textId="4AE1DB14" w:rsidR="000E7BE2" w:rsidRDefault="000E7BE2" w:rsidP="00E22555">
      <w:pPr>
        <w:pStyle w:val="Akapitzlist"/>
        <w:numPr>
          <w:ilvl w:val="0"/>
          <w:numId w:val="11"/>
        </w:numPr>
        <w:jc w:val="both"/>
      </w:pPr>
      <w:r>
        <w:t xml:space="preserve">Bardzo często dochodzi do sytuacji, gdy przestępcy </w:t>
      </w:r>
      <w:r w:rsidR="0026239F">
        <w:t xml:space="preserve">- </w:t>
      </w:r>
      <w:r>
        <w:t xml:space="preserve">przy akceptacji </w:t>
      </w:r>
      <w:r w:rsidR="006E328F">
        <w:t xml:space="preserve">pokrzywdzonego </w:t>
      </w:r>
      <w:r w:rsidR="0026239F">
        <w:t xml:space="preserve">- </w:t>
      </w:r>
      <w:r>
        <w:t xml:space="preserve">sami inicjują operacje kartami, logują się do bankowości elektronicznej, zrywają lokaty, </w:t>
      </w:r>
      <w:r w:rsidR="007F6065">
        <w:t>biorą kredyty</w:t>
      </w:r>
      <w:r>
        <w:t xml:space="preserve"> i</w:t>
      </w:r>
      <w:r w:rsidR="00E72506">
        <w:t> </w:t>
      </w:r>
      <w:r w:rsidR="00BD25B6">
        <w:t xml:space="preserve">wykonują </w:t>
      </w:r>
      <w:r>
        <w:t xml:space="preserve">płatności. </w:t>
      </w:r>
    </w:p>
    <w:p w14:paraId="3E943256" w14:textId="7193CE42" w:rsidR="00BC3DA7" w:rsidRDefault="00BC3DA7" w:rsidP="00E22555">
      <w:pPr>
        <w:pStyle w:val="Akapitzlist"/>
        <w:numPr>
          <w:ilvl w:val="0"/>
          <w:numId w:val="11"/>
        </w:numPr>
        <w:jc w:val="both"/>
      </w:pPr>
      <w:r>
        <w:t xml:space="preserve">W początkowym okresie </w:t>
      </w:r>
      <w:r w:rsidR="006E328F">
        <w:t xml:space="preserve">przyszły poszkodowany </w:t>
      </w:r>
      <w:r>
        <w:t xml:space="preserve">może obserwować niewielkie „wirtualne zyski” od przekazanej kwoty. Z czasem „analitycy” zaczynają namawiać do zainwestowania </w:t>
      </w:r>
      <w:r>
        <w:lastRenderedPageBreak/>
        <w:t xml:space="preserve">większej kwoty. Może </w:t>
      </w:r>
      <w:r w:rsidR="00EC2979">
        <w:t>to być</w:t>
      </w:r>
      <w:r>
        <w:t xml:space="preserve"> np. „super” okazja związan</w:t>
      </w:r>
      <w:r w:rsidR="00EC2979">
        <w:t>a</w:t>
      </w:r>
      <w:r>
        <w:t xml:space="preserve"> ze zmienną sytuacją na rynku kryptowalut lub Forex.</w:t>
      </w:r>
    </w:p>
    <w:p w14:paraId="492F8D9E" w14:textId="5695E613" w:rsidR="00CC76D5" w:rsidRDefault="00BC3DA7" w:rsidP="00E22555">
      <w:pPr>
        <w:pStyle w:val="Akapitzlist"/>
        <w:numPr>
          <w:ilvl w:val="0"/>
          <w:numId w:val="11"/>
        </w:numPr>
        <w:jc w:val="both"/>
      </w:pPr>
      <w:r>
        <w:t>Potem może się okazać, że inwestycja była nietrafiona, przy czym „broker” daje szans</w:t>
      </w:r>
      <w:r w:rsidR="00B444EB">
        <w:t>ę</w:t>
      </w:r>
      <w:r>
        <w:t xml:space="preserve"> na szybkie odrobienie strat</w:t>
      </w:r>
      <w:r w:rsidR="00EC2979">
        <w:t xml:space="preserve"> i</w:t>
      </w:r>
      <w:r w:rsidR="00857268">
        <w:t xml:space="preserve"> np. proponuje</w:t>
      </w:r>
      <w:r w:rsidR="00A07C89">
        <w:t xml:space="preserve"> dofinansowanie</w:t>
      </w:r>
      <w:r w:rsidR="00857268">
        <w:t xml:space="preserve"> </w:t>
      </w:r>
      <w:r w:rsidR="00B444EB">
        <w:t xml:space="preserve">inwestycji </w:t>
      </w:r>
      <w:r w:rsidR="00857268">
        <w:t>z własnych środków</w:t>
      </w:r>
      <w:r w:rsidR="00B444EB">
        <w:t>,</w:t>
      </w:r>
      <w:r w:rsidR="00A07C89">
        <w:t xml:space="preserve"> co ma uwiarygodnić przyszłe zyski z inwestycji</w:t>
      </w:r>
      <w:r>
        <w:t xml:space="preserve">. Przy okazji „analitycy” wykorzystują różne techniki manipulacji </w:t>
      </w:r>
      <w:r w:rsidR="006E328F">
        <w:t>klientami</w:t>
      </w:r>
      <w:r w:rsidR="00CC76D5">
        <w:t>, np.:</w:t>
      </w:r>
    </w:p>
    <w:p w14:paraId="40C2E564" w14:textId="37E6A06A" w:rsidR="0080753D" w:rsidRDefault="00CC76D5" w:rsidP="00E22555">
      <w:pPr>
        <w:pStyle w:val="Akapitzlist"/>
        <w:numPr>
          <w:ilvl w:val="1"/>
          <w:numId w:val="11"/>
        </w:numPr>
        <w:jc w:val="both"/>
      </w:pPr>
      <w:r>
        <w:t xml:space="preserve">Stosują zasadę </w:t>
      </w:r>
      <w:r w:rsidR="00B444EB">
        <w:t xml:space="preserve">ekskluzywności </w:t>
      </w:r>
      <w:r>
        <w:t>–</w:t>
      </w:r>
      <w:r w:rsidR="00BD25B6">
        <w:t xml:space="preserve"> </w:t>
      </w:r>
      <w:r>
        <w:t>zastrzegają, że oferta</w:t>
      </w:r>
      <w:r w:rsidR="00B444EB">
        <w:t xml:space="preserve"> jest</w:t>
      </w:r>
      <w:r>
        <w:t xml:space="preserve"> ograniczona czasowo i tylko dla </w:t>
      </w:r>
      <w:r w:rsidR="0080753D">
        <w:t xml:space="preserve">specjalnych </w:t>
      </w:r>
      <w:r>
        <w:t>klientów</w:t>
      </w:r>
      <w:r w:rsidR="00FF7163">
        <w:t>.</w:t>
      </w:r>
    </w:p>
    <w:p w14:paraId="569C93DD" w14:textId="3AE9D2F2" w:rsidR="00EE5F27" w:rsidRDefault="0080753D" w:rsidP="00E22555">
      <w:pPr>
        <w:pStyle w:val="Akapitzlist"/>
        <w:numPr>
          <w:ilvl w:val="1"/>
          <w:numId w:val="11"/>
        </w:numPr>
        <w:jc w:val="both"/>
      </w:pPr>
      <w:r>
        <w:t xml:space="preserve">Używają metody zastraszania – działają nachalnie, dzwonią po kilka razy. </w:t>
      </w:r>
      <w:r w:rsidR="008179CC">
        <w:t>Stosują</w:t>
      </w:r>
      <w:r>
        <w:t xml:space="preserve"> przy tym socjotechnikę</w:t>
      </w:r>
      <w:r w:rsidR="00B95F63">
        <w:t xml:space="preserve"> polegającą na zaangażowani</w:t>
      </w:r>
      <w:r w:rsidR="00FF7163">
        <w:t>u</w:t>
      </w:r>
      <w:r w:rsidR="00B95F63">
        <w:t xml:space="preserve"> i konsekwencji. </w:t>
      </w:r>
      <w:r w:rsidR="00BD25B6">
        <w:t>W</w:t>
      </w:r>
      <w:r w:rsidR="00B95F63">
        <w:t>zbudzają poczucie, że trzeba zrealizować wcześniejszą decyzję</w:t>
      </w:r>
      <w:r w:rsidR="00FF7163">
        <w:t>.</w:t>
      </w:r>
      <w:r w:rsidR="00B95F63">
        <w:t xml:space="preserve"> </w:t>
      </w:r>
    </w:p>
    <w:p w14:paraId="56566249" w14:textId="77777777" w:rsidR="00D958C0" w:rsidRDefault="00D958C0" w:rsidP="00343FC8">
      <w:pPr>
        <w:ind w:left="360"/>
        <w:jc w:val="both"/>
      </w:pPr>
    </w:p>
    <w:p w14:paraId="793E99D9" w14:textId="06919623" w:rsidR="00EE5F27" w:rsidRDefault="006059AB" w:rsidP="007F6065">
      <w:pPr>
        <w:jc w:val="both"/>
      </w:pPr>
      <w:r>
        <w:t xml:space="preserve">Mimo tego, </w:t>
      </w:r>
      <w:r w:rsidR="008179CC">
        <w:t>ż</w:t>
      </w:r>
      <w:r>
        <w:t>e</w:t>
      </w:r>
      <w:r w:rsidR="00E72506">
        <w:t xml:space="preserve"> </w:t>
      </w:r>
      <w:r w:rsidR="00CC4F21">
        <w:t xml:space="preserve">wszystkie opisane działania doprowadzają do sytuacji, gdy </w:t>
      </w:r>
      <w:r w:rsidR="006E328F">
        <w:t xml:space="preserve">poszkodowany </w:t>
      </w:r>
      <w:r w:rsidR="00CC4F21">
        <w:t>traci wszystkie oszczędności, przestępcy nie zaprzestają ataków. Namawiają do brania pożyczek i</w:t>
      </w:r>
      <w:r w:rsidR="00FF7163">
        <w:t> </w:t>
      </w:r>
      <w:r w:rsidR="00CC4F21">
        <w:t>kredytów, aby odrobić straty</w:t>
      </w:r>
      <w:r w:rsidR="00B3760D">
        <w:t xml:space="preserve">. Jest coraz więcej przypadków, w których przestępcy </w:t>
      </w:r>
      <w:r w:rsidR="00B3760D" w:rsidRPr="000A5783">
        <w:t>zaw</w:t>
      </w:r>
      <w:r w:rsidR="00B3760D">
        <w:t>ierają</w:t>
      </w:r>
      <w:r w:rsidR="00B3760D" w:rsidRPr="000A5783">
        <w:t xml:space="preserve"> u</w:t>
      </w:r>
      <w:r w:rsidR="00B3760D">
        <w:t>mowy</w:t>
      </w:r>
      <w:r w:rsidR="00B3760D" w:rsidRPr="000A5783">
        <w:t xml:space="preserve"> kr</w:t>
      </w:r>
      <w:r w:rsidR="00B3760D">
        <w:t xml:space="preserve">edytów </w:t>
      </w:r>
      <w:r w:rsidR="00B444EB">
        <w:t xml:space="preserve">np. przez </w:t>
      </w:r>
      <w:r w:rsidR="00EC2979">
        <w:t>i</w:t>
      </w:r>
      <w:r w:rsidR="007F6065">
        <w:t>nternet</w:t>
      </w:r>
      <w:r w:rsidR="0026239F">
        <w:rPr>
          <w:i/>
          <w:iCs/>
        </w:rPr>
        <w:t>,</w:t>
      </w:r>
      <w:r w:rsidR="00B3760D" w:rsidRPr="000A5783">
        <w:t xml:space="preserve"> na rzecz</w:t>
      </w:r>
      <w:r w:rsidR="00B3760D">
        <w:t xml:space="preserve"> niczego nieświadomych</w:t>
      </w:r>
      <w:r w:rsidR="00B3760D" w:rsidRPr="000A5783">
        <w:t xml:space="preserve"> kl</w:t>
      </w:r>
      <w:r w:rsidR="00B3760D">
        <w:t>ientów</w:t>
      </w:r>
      <w:r w:rsidR="0026239F">
        <w:t>.</w:t>
      </w:r>
    </w:p>
    <w:p w14:paraId="581FC3E4" w14:textId="77777777" w:rsidR="00B95F63" w:rsidRDefault="00B95F63" w:rsidP="00E22555">
      <w:pPr>
        <w:jc w:val="both"/>
      </w:pPr>
    </w:p>
    <w:p w14:paraId="3B2E0807" w14:textId="77777777" w:rsidR="000E7BE2" w:rsidRPr="00647832" w:rsidRDefault="000E7BE2" w:rsidP="00E22555">
      <w:pPr>
        <w:pStyle w:val="Akapitzlist"/>
        <w:jc w:val="both"/>
      </w:pPr>
    </w:p>
    <w:p w14:paraId="6FF6D20D" w14:textId="2AB8C42D" w:rsidR="000E7BE2" w:rsidRPr="00A622C4" w:rsidRDefault="003D64AC" w:rsidP="00E22555">
      <w:pPr>
        <w:jc w:val="both"/>
        <w:rPr>
          <w:b/>
          <w:bCs/>
        </w:rPr>
      </w:pPr>
      <w:r w:rsidRPr="00A622C4">
        <w:rPr>
          <w:b/>
          <w:bCs/>
        </w:rPr>
        <w:t xml:space="preserve">- WŁĄCZENIE </w:t>
      </w:r>
      <w:r w:rsidR="006E328F">
        <w:rPr>
          <w:b/>
          <w:bCs/>
        </w:rPr>
        <w:t>POSZKODOWANEGO</w:t>
      </w:r>
      <w:r w:rsidR="006E328F" w:rsidRPr="00A622C4">
        <w:rPr>
          <w:b/>
          <w:bCs/>
        </w:rPr>
        <w:t xml:space="preserve"> </w:t>
      </w:r>
      <w:r w:rsidRPr="00A622C4">
        <w:rPr>
          <w:b/>
          <w:bCs/>
        </w:rPr>
        <w:t>W DZIAŁALNOŚĆ PRZESTĘPCZĄ -</w:t>
      </w:r>
    </w:p>
    <w:p w14:paraId="739B9A9A" w14:textId="0D4AB171" w:rsidR="005548E2" w:rsidRPr="00380B40" w:rsidRDefault="000E7BE2" w:rsidP="00E22555">
      <w:pPr>
        <w:jc w:val="both"/>
      </w:pPr>
      <w:r w:rsidRPr="00A622C4">
        <w:t>Podczas niektórych ataków przestępcy</w:t>
      </w:r>
      <w:r w:rsidR="00556670" w:rsidRPr="00380B40">
        <w:t xml:space="preserve"> wykorzystują </w:t>
      </w:r>
      <w:r w:rsidR="00B444EB">
        <w:t xml:space="preserve">pokrzywdzonego </w:t>
      </w:r>
      <w:r w:rsidR="00556670" w:rsidRPr="00380B40">
        <w:t>do procederu prania pieniędzy pochodzących z przestępstw (w transferze</w:t>
      </w:r>
      <w:r w:rsidRPr="00A622C4">
        <w:t xml:space="preserve"> </w:t>
      </w:r>
      <w:r w:rsidR="00556670" w:rsidRPr="00380B40">
        <w:t>środków pochodzących z </w:t>
      </w:r>
      <w:r w:rsidR="008179CC">
        <w:t xml:space="preserve">oszustw </w:t>
      </w:r>
      <w:r w:rsidR="00556670" w:rsidRPr="00380B40">
        <w:t>u inne</w:t>
      </w:r>
      <w:r w:rsidR="006E328F">
        <w:t>go poszkodowanego</w:t>
      </w:r>
      <w:r w:rsidR="00C54B35" w:rsidRPr="00380B40">
        <w:t>)</w:t>
      </w:r>
      <w:r w:rsidR="00C54B35">
        <w:t>:</w:t>
      </w:r>
    </w:p>
    <w:p w14:paraId="701F0342" w14:textId="5BBB25DF" w:rsidR="00A622C4" w:rsidRPr="00380B40" w:rsidRDefault="00A622C4" w:rsidP="00E22555">
      <w:pPr>
        <w:pStyle w:val="Akapitzlist"/>
        <w:numPr>
          <w:ilvl w:val="0"/>
          <w:numId w:val="15"/>
        </w:numPr>
        <w:jc w:val="both"/>
      </w:pPr>
      <w:r w:rsidRPr="00380B40">
        <w:t>N</w:t>
      </w:r>
      <w:r w:rsidR="000E7BE2" w:rsidRPr="00A622C4">
        <w:t xml:space="preserve">akłaniają do przelania inwestowanych środków na konta </w:t>
      </w:r>
      <w:r w:rsidR="00B444EB">
        <w:t>innych osób</w:t>
      </w:r>
      <w:r w:rsidR="000E7BE2" w:rsidRPr="00A622C4">
        <w:t>. Ma to im ułatwić kontynuację inwestowania w związku z</w:t>
      </w:r>
      <w:r w:rsidR="00647832" w:rsidRPr="00A622C4">
        <w:t> </w:t>
      </w:r>
      <w:r w:rsidR="000E7BE2" w:rsidRPr="00A622C4">
        <w:t>rzekomymi działaniami prewencyjnymi podejmowanymi prze</w:t>
      </w:r>
      <w:r w:rsidR="008179CC">
        <w:t>z</w:t>
      </w:r>
      <w:r w:rsidR="000E7BE2" w:rsidRPr="00A622C4">
        <w:t xml:space="preserve"> niektóre banki. </w:t>
      </w:r>
    </w:p>
    <w:p w14:paraId="61F8C582" w14:textId="3F635F7C" w:rsidR="00A622C4" w:rsidRPr="00380B40" w:rsidRDefault="000E7BE2" w:rsidP="00E22555">
      <w:pPr>
        <w:pStyle w:val="Akapitzlist"/>
        <w:numPr>
          <w:ilvl w:val="0"/>
          <w:numId w:val="15"/>
        </w:numPr>
        <w:jc w:val="both"/>
      </w:pPr>
      <w:r w:rsidRPr="00A622C4">
        <w:t>W</w:t>
      </w:r>
      <w:r w:rsidR="00FF5020" w:rsidRPr="00A622C4">
        <w:t> </w:t>
      </w:r>
      <w:r w:rsidRPr="00A622C4">
        <w:t xml:space="preserve">tym samym celu uzgadniają z niektórymi </w:t>
      </w:r>
      <w:r w:rsidR="00086384">
        <w:t>klientami</w:t>
      </w:r>
      <w:r w:rsidRPr="00A622C4">
        <w:t xml:space="preserve">, że na ich rachunek w banku wpłyną środki od innej osoby dla późniejszego przekazania ich dalej. Dzięki temu </w:t>
      </w:r>
      <w:r w:rsidR="00B444EB">
        <w:t>po</w:t>
      </w:r>
      <w:r w:rsidR="006E738D">
        <w:t>krzywdzony</w:t>
      </w:r>
      <w:r w:rsidR="00C54B35">
        <w:t xml:space="preserve"> </w:t>
      </w:r>
      <w:r w:rsidR="006E738D">
        <w:t xml:space="preserve">rzekomo </w:t>
      </w:r>
      <w:r w:rsidRPr="00A622C4">
        <w:t>będ</w:t>
      </w:r>
      <w:r w:rsidR="006E738D">
        <w:t>zie</w:t>
      </w:r>
      <w:r w:rsidRPr="00A622C4">
        <w:t xml:space="preserve"> </w:t>
      </w:r>
      <w:r w:rsidR="006E738D" w:rsidRPr="00A622C4">
        <w:t>m</w:t>
      </w:r>
      <w:r w:rsidR="006E738D">
        <w:t>ógł</w:t>
      </w:r>
      <w:r w:rsidR="006E738D" w:rsidRPr="00A622C4">
        <w:t xml:space="preserve"> </w:t>
      </w:r>
      <w:r w:rsidRPr="00A622C4">
        <w:t xml:space="preserve">łatwiej uzyskać zysk </w:t>
      </w:r>
      <w:r w:rsidR="00EC2979">
        <w:t>ze</w:t>
      </w:r>
      <w:r w:rsidRPr="00A622C4">
        <w:t xml:space="preserve"> swoich „inwestycji” lub odrobić straty. </w:t>
      </w:r>
    </w:p>
    <w:p w14:paraId="019821B7" w14:textId="77777777" w:rsidR="00A622C4" w:rsidRPr="00380B40" w:rsidRDefault="00A622C4" w:rsidP="00E22555">
      <w:pPr>
        <w:pStyle w:val="Akapitzlist"/>
        <w:jc w:val="both"/>
      </w:pPr>
    </w:p>
    <w:p w14:paraId="6AE530EF" w14:textId="2E0C0F2F" w:rsidR="008979A4" w:rsidRPr="00A622C4" w:rsidRDefault="000E7BE2" w:rsidP="00E22555">
      <w:pPr>
        <w:jc w:val="both"/>
      </w:pPr>
      <w:r w:rsidRPr="00A622C4">
        <w:t>Więcej o tego typu niebezpieczeństwach przeczytasz tu:</w:t>
      </w:r>
      <w:r w:rsidR="00E72506">
        <w:t xml:space="preserve"> </w:t>
      </w:r>
    </w:p>
    <w:p w14:paraId="75933689" w14:textId="77777777" w:rsidR="008979A4" w:rsidRPr="00A622C4" w:rsidRDefault="000E68F6" w:rsidP="00E22555">
      <w:pPr>
        <w:numPr>
          <w:ilvl w:val="0"/>
          <w:numId w:val="6"/>
        </w:numPr>
        <w:ind w:left="426" w:hanging="426"/>
        <w:jc w:val="both"/>
      </w:pPr>
      <w:hyperlink r:id="rId9" w:history="1">
        <w:r w:rsidR="008979A4" w:rsidRPr="00A622C4">
          <w:rPr>
            <w:rStyle w:val="Hipercze"/>
          </w:rPr>
          <w:t>http://policja.pl/pol/aktualnosci/182302,Operacja-EMMA-5.html?sid=f309c82dc0babb99508f0947e50e7818</w:t>
        </w:r>
      </w:hyperlink>
    </w:p>
    <w:p w14:paraId="2BA00D66" w14:textId="77777777" w:rsidR="000E7BE2" w:rsidRPr="00A622C4" w:rsidRDefault="000E68F6" w:rsidP="00E22555">
      <w:pPr>
        <w:numPr>
          <w:ilvl w:val="0"/>
          <w:numId w:val="6"/>
        </w:numPr>
        <w:ind w:left="426" w:hanging="426"/>
        <w:jc w:val="both"/>
      </w:pPr>
      <w:hyperlink r:id="rId10" w:history="1">
        <w:r w:rsidR="000E7BE2" w:rsidRPr="00A622C4">
          <w:rPr>
            <w:rStyle w:val="Hipercze"/>
          </w:rPr>
          <w:t>https://zbp.pl/Aktualnosci/Wydarzenia/Nie-zostan-mulem-finansowym</w:t>
        </w:r>
      </w:hyperlink>
      <w:r w:rsidR="000E7BE2" w:rsidRPr="00A622C4">
        <w:t>.</w:t>
      </w:r>
    </w:p>
    <w:p w14:paraId="362EBDA0" w14:textId="77777777" w:rsidR="000E7BE2" w:rsidRPr="00380B40" w:rsidRDefault="000E7BE2" w:rsidP="00E22555">
      <w:pPr>
        <w:jc w:val="both"/>
        <w:rPr>
          <w:i/>
          <w:iCs/>
          <w:highlight w:val="yellow"/>
        </w:rPr>
      </w:pPr>
    </w:p>
    <w:p w14:paraId="3A2D661D" w14:textId="77777777" w:rsidR="000E7BE2" w:rsidRPr="007A50D2" w:rsidRDefault="003D64AC" w:rsidP="00E22555">
      <w:pPr>
        <w:jc w:val="both"/>
        <w:rPr>
          <w:b/>
          <w:bCs/>
        </w:rPr>
      </w:pPr>
      <w:r w:rsidRPr="007A50D2">
        <w:rPr>
          <w:b/>
          <w:bCs/>
        </w:rPr>
        <w:t>- ZAKOŃCZENIE „WSPÓŁPRACY” Z „BROKEREM” -</w:t>
      </w:r>
    </w:p>
    <w:p w14:paraId="7AB328D8" w14:textId="63E4C10A" w:rsidR="000E7BE2" w:rsidRPr="007A50D2" w:rsidRDefault="000E7BE2" w:rsidP="00E22555">
      <w:pPr>
        <w:jc w:val="both"/>
      </w:pPr>
      <w:r w:rsidRPr="007A50D2">
        <w:t xml:space="preserve">Próby wycofania się od współpracy z „brokerem” lub starania o zwrot jakiejkolwiek części zainwestowanej kwoty najczęściej kończą się całkowitym niepowodzeniem. </w:t>
      </w:r>
      <w:r w:rsidR="001F0D90" w:rsidRPr="00380B40">
        <w:t xml:space="preserve">Jeśli </w:t>
      </w:r>
      <w:r w:rsidR="00086384">
        <w:t>poszkodowany</w:t>
      </w:r>
      <w:r w:rsidR="00086384" w:rsidRPr="00380B40">
        <w:t xml:space="preserve"> </w:t>
      </w:r>
      <w:r w:rsidR="001F0D90" w:rsidRPr="00380B40">
        <w:t xml:space="preserve">chce to zrobić, </w:t>
      </w:r>
      <w:r w:rsidRPr="007A50D2">
        <w:t xml:space="preserve">dowiaduje się, że nie </w:t>
      </w:r>
      <w:r w:rsidR="001F0D90" w:rsidRPr="00380B40">
        <w:t xml:space="preserve">spełniła zapisów regulaminu. </w:t>
      </w:r>
      <w:r w:rsidR="007B79A4" w:rsidRPr="00380B40">
        <w:t>P</w:t>
      </w:r>
      <w:r w:rsidR="001F0D90" w:rsidRPr="00380B40">
        <w:t xml:space="preserve">rzykładowo </w:t>
      </w:r>
      <w:r w:rsidR="00EC2979">
        <w:t>może</w:t>
      </w:r>
      <w:r w:rsidR="007B79A4" w:rsidRPr="00380B40">
        <w:t xml:space="preserve"> </w:t>
      </w:r>
      <w:r w:rsidR="001F0D90" w:rsidRPr="00380B40">
        <w:t xml:space="preserve">nie spełnić </w:t>
      </w:r>
      <w:r w:rsidR="007B79A4" w:rsidRPr="00380B40">
        <w:t xml:space="preserve">warunków </w:t>
      </w:r>
      <w:r w:rsidRPr="007A50D2">
        <w:t>odnosząc</w:t>
      </w:r>
      <w:r w:rsidR="007B79A4" w:rsidRPr="00380B40">
        <w:t>ych</w:t>
      </w:r>
      <w:r w:rsidRPr="007A50D2">
        <w:t xml:space="preserve"> się do aktywności, liczby zleceń, wielkości wpłaconej kwoty, </w:t>
      </w:r>
      <w:r w:rsidR="007B79A4" w:rsidRPr="00380B40">
        <w:t>itp</w:t>
      </w:r>
      <w:r w:rsidRPr="007A50D2">
        <w:t xml:space="preserve">. </w:t>
      </w:r>
    </w:p>
    <w:p w14:paraId="285B1695" w14:textId="77777777" w:rsidR="000E7BE2" w:rsidRPr="003D64AC" w:rsidRDefault="000E7BE2" w:rsidP="00E22555">
      <w:pPr>
        <w:jc w:val="both"/>
      </w:pPr>
    </w:p>
    <w:p w14:paraId="497E1DCE" w14:textId="77777777" w:rsidR="000E7BE2" w:rsidRPr="003D64AC" w:rsidRDefault="003D64AC" w:rsidP="00E22555">
      <w:pPr>
        <w:jc w:val="both"/>
        <w:rPr>
          <w:b/>
          <w:bCs/>
        </w:rPr>
      </w:pPr>
      <w:r w:rsidRPr="003D64AC">
        <w:rPr>
          <w:b/>
          <w:bCs/>
        </w:rPr>
        <w:t>- FINAŁ -</w:t>
      </w:r>
    </w:p>
    <w:p w14:paraId="064A5336" w14:textId="448BA2F3" w:rsidR="000E7BE2" w:rsidRPr="003D64AC" w:rsidRDefault="000E7BE2" w:rsidP="00E22555">
      <w:pPr>
        <w:jc w:val="both"/>
      </w:pPr>
      <w:r w:rsidRPr="003D64AC">
        <w:t xml:space="preserve">Koniec jest prawie zawsze ten sam: </w:t>
      </w:r>
      <w:r w:rsidR="00086384">
        <w:t>poszkodowany</w:t>
      </w:r>
      <w:r w:rsidR="00086384" w:rsidRPr="003D64AC">
        <w:t xml:space="preserve"> </w:t>
      </w:r>
      <w:r w:rsidRPr="003D64AC">
        <w:t xml:space="preserve">traci wszystkie oszczędności, niejednokrotnie </w:t>
      </w:r>
      <w:r w:rsidR="00EC2979">
        <w:t xml:space="preserve">na jego dane </w:t>
      </w:r>
      <w:r w:rsidR="006E738D">
        <w:t>brany</w:t>
      </w:r>
      <w:r w:rsidR="006E738D" w:rsidRPr="003D64AC">
        <w:t xml:space="preserve"> </w:t>
      </w:r>
      <w:r w:rsidRPr="003D64AC">
        <w:t xml:space="preserve">jest kredyt lub </w:t>
      </w:r>
      <w:r w:rsidR="006E738D" w:rsidRPr="003D64AC">
        <w:t>pożyczk</w:t>
      </w:r>
      <w:r w:rsidR="006E738D">
        <w:t xml:space="preserve">a </w:t>
      </w:r>
      <w:r w:rsidRPr="003D64AC">
        <w:t xml:space="preserve">a </w:t>
      </w:r>
      <w:r w:rsidR="006E738D">
        <w:t xml:space="preserve">nawet </w:t>
      </w:r>
      <w:r w:rsidR="00C54B35">
        <w:t>czasem</w:t>
      </w:r>
      <w:r w:rsidR="00C54B35" w:rsidRPr="003D64AC">
        <w:t xml:space="preserve"> </w:t>
      </w:r>
      <w:r w:rsidRPr="003D64AC">
        <w:t>nieświadomie zostaje włączon</w:t>
      </w:r>
      <w:r w:rsidR="006E738D">
        <w:t>y</w:t>
      </w:r>
      <w:r w:rsidRPr="003D64AC">
        <w:t xml:space="preserve"> w</w:t>
      </w:r>
      <w:r w:rsidR="00FF5020" w:rsidRPr="003D64AC">
        <w:t> </w:t>
      </w:r>
      <w:r w:rsidRPr="003D64AC">
        <w:t>działalność przestępczą.</w:t>
      </w:r>
    </w:p>
    <w:p w14:paraId="6C66FD41" w14:textId="77777777" w:rsidR="000E7BE2" w:rsidRPr="003D64AC" w:rsidRDefault="000E7BE2" w:rsidP="00E22555">
      <w:pPr>
        <w:jc w:val="both"/>
      </w:pPr>
    </w:p>
    <w:p w14:paraId="460EA11F" w14:textId="77777777" w:rsidR="000E7BE2" w:rsidRPr="003D64AC" w:rsidRDefault="000E7BE2" w:rsidP="00E22555">
      <w:pPr>
        <w:jc w:val="both"/>
      </w:pPr>
    </w:p>
    <w:p w14:paraId="3A47FB81" w14:textId="64B9BC83" w:rsidR="000E7BE2" w:rsidRDefault="00F64BA2" w:rsidP="00E22555">
      <w:pPr>
        <w:jc w:val="both"/>
        <w:rPr>
          <w:b/>
          <w:bCs/>
        </w:rPr>
      </w:pPr>
      <w:r>
        <w:rPr>
          <w:b/>
          <w:bCs/>
        </w:rPr>
        <w:t>Co robić w przypadku podejrzenia oszustwa</w:t>
      </w:r>
      <w:r w:rsidR="00FF7163">
        <w:rPr>
          <w:b/>
          <w:bCs/>
        </w:rPr>
        <w:t>?</w:t>
      </w:r>
    </w:p>
    <w:p w14:paraId="4481DD88" w14:textId="77777777" w:rsidR="00FF7163" w:rsidRPr="00B526DB" w:rsidRDefault="00FF7163" w:rsidP="00E22555">
      <w:pPr>
        <w:jc w:val="both"/>
        <w:rPr>
          <w:b/>
          <w:bCs/>
        </w:rPr>
      </w:pPr>
    </w:p>
    <w:p w14:paraId="76884426" w14:textId="3C4F7576" w:rsidR="000E7BE2" w:rsidRDefault="000E7BE2" w:rsidP="00E22555">
      <w:pPr>
        <w:jc w:val="both"/>
      </w:pPr>
      <w:r w:rsidRPr="00B526DB">
        <w:lastRenderedPageBreak/>
        <w:t>Najważniejsze jest zachować scepty</w:t>
      </w:r>
      <w:r>
        <w:t>cy</w:t>
      </w:r>
      <w:r w:rsidRPr="00B526DB">
        <w:t xml:space="preserve">zm i nie </w:t>
      </w:r>
      <w:r w:rsidR="00FF7163">
        <w:t>u</w:t>
      </w:r>
      <w:r w:rsidRPr="00B526DB">
        <w:t xml:space="preserve">legać emocjom. </w:t>
      </w:r>
      <w:r>
        <w:t xml:space="preserve">Przed podjęciem jakichkolwiek decyzji związanych z inwestowaniem na rynkach Forex i kryptowalut </w:t>
      </w:r>
      <w:r w:rsidR="001421EB">
        <w:t>zadaj sobie</w:t>
      </w:r>
      <w:r>
        <w:t xml:space="preserve"> pytania: </w:t>
      </w:r>
    </w:p>
    <w:p w14:paraId="64AB6029" w14:textId="77777777" w:rsidR="000E7BE2" w:rsidRDefault="000E7BE2" w:rsidP="00E22555">
      <w:pPr>
        <w:pStyle w:val="Akapitzlist1"/>
        <w:numPr>
          <w:ilvl w:val="0"/>
          <w:numId w:val="3"/>
        </w:numPr>
        <w:ind w:left="426" w:hanging="426"/>
        <w:jc w:val="both"/>
      </w:pPr>
      <w:r w:rsidRPr="00B526DB">
        <w:rPr>
          <w:b/>
          <w:bCs/>
        </w:rPr>
        <w:t>Co wiem</w:t>
      </w:r>
      <w:r>
        <w:t xml:space="preserve"> o ryzyku inwestowania na tych rynkach? </w:t>
      </w:r>
    </w:p>
    <w:p w14:paraId="1D94F690" w14:textId="1FD8D563" w:rsidR="000E7BE2" w:rsidRDefault="000E7BE2" w:rsidP="00E22555">
      <w:pPr>
        <w:pStyle w:val="Akapitzlist1"/>
        <w:numPr>
          <w:ilvl w:val="0"/>
          <w:numId w:val="3"/>
        </w:numPr>
        <w:ind w:left="426" w:hanging="426"/>
        <w:jc w:val="both"/>
      </w:pPr>
      <w:r w:rsidRPr="00B526DB">
        <w:rPr>
          <w:b/>
          <w:bCs/>
        </w:rPr>
        <w:t>Czy rozumiem</w:t>
      </w:r>
      <w:r w:rsidR="001421EB">
        <w:rPr>
          <w:b/>
          <w:bCs/>
        </w:rPr>
        <w:t>,</w:t>
      </w:r>
      <w:r>
        <w:t xml:space="preserve"> na czym polegają inwestycje tego typu? </w:t>
      </w:r>
    </w:p>
    <w:p w14:paraId="76C3BAD7" w14:textId="4DF66019" w:rsidR="000E7BE2" w:rsidRDefault="000E7BE2" w:rsidP="00E22555">
      <w:pPr>
        <w:pStyle w:val="Akapitzlist1"/>
        <w:numPr>
          <w:ilvl w:val="0"/>
          <w:numId w:val="3"/>
        </w:numPr>
        <w:ind w:left="426" w:hanging="426"/>
        <w:jc w:val="both"/>
      </w:pPr>
      <w:r w:rsidRPr="00380B40">
        <w:rPr>
          <w:b/>
        </w:rPr>
        <w:t xml:space="preserve">Czy </w:t>
      </w:r>
      <w:r w:rsidR="001421EB" w:rsidRPr="00380B40">
        <w:rPr>
          <w:b/>
        </w:rPr>
        <w:t>mogę</w:t>
      </w:r>
      <w:r w:rsidR="001421EB">
        <w:t xml:space="preserve"> samodzielnie –</w:t>
      </w:r>
      <w:r>
        <w:t xml:space="preserve"> </w:t>
      </w:r>
      <w:r w:rsidR="001421EB">
        <w:t>z zachowaniem</w:t>
      </w:r>
      <w:r>
        <w:t xml:space="preserve"> poufności moich danych </w:t>
      </w:r>
      <w:r w:rsidR="00A272CB">
        <w:t xml:space="preserve">– realizować operacje </w:t>
      </w:r>
      <w:r>
        <w:t>na rynkach Forex i kryptowalut?</w:t>
      </w:r>
    </w:p>
    <w:p w14:paraId="4DE3C3B7" w14:textId="77777777" w:rsidR="000E7BE2" w:rsidRDefault="000E7BE2" w:rsidP="00E22555">
      <w:pPr>
        <w:jc w:val="both"/>
      </w:pPr>
    </w:p>
    <w:p w14:paraId="35D815D4" w14:textId="4F59F387" w:rsidR="000E7BE2" w:rsidRPr="00B526DB" w:rsidRDefault="000E7BE2" w:rsidP="00E22555">
      <w:pPr>
        <w:jc w:val="both"/>
      </w:pPr>
      <w:r>
        <w:t>Odpowied</w:t>
      </w:r>
      <w:r w:rsidR="00FF7163">
        <w:t>zi</w:t>
      </w:r>
      <w:r>
        <w:t xml:space="preserve"> na te pytania powinny ostudzić emocje i przestrzec przed podjęciem zbyt pochopnych działań, na ogół nieodwracalnych.</w:t>
      </w:r>
    </w:p>
    <w:p w14:paraId="3DCA3165" w14:textId="77777777" w:rsidR="000E7BE2" w:rsidRPr="00B526DB" w:rsidRDefault="000E7BE2" w:rsidP="00E22555">
      <w:pPr>
        <w:jc w:val="both"/>
      </w:pPr>
    </w:p>
    <w:p w14:paraId="10D5BF32" w14:textId="6713DC0B" w:rsidR="000E7BE2" w:rsidRDefault="00A32341" w:rsidP="00E22555">
      <w:pPr>
        <w:jc w:val="both"/>
      </w:pPr>
      <w:r w:rsidRPr="00A272CB">
        <w:rPr>
          <w:rFonts w:asciiTheme="minorHAnsi" w:eastAsiaTheme="minorHAnsi" w:hAnsiTheme="minorHAnsi" w:cstheme="minorBidi"/>
        </w:rPr>
        <w:t>Komenda Główna Policji i FinCERT.pl – Bankowe Centrum Cyberbezpieczeństwa ZBP zalecają</w:t>
      </w:r>
      <w:r w:rsidR="00597EBD">
        <w:rPr>
          <w:rFonts w:asciiTheme="minorHAnsi" w:eastAsiaTheme="minorHAnsi" w:hAnsiTheme="minorHAnsi" w:cstheme="minorBidi"/>
        </w:rPr>
        <w:t xml:space="preserve"> między innymi</w:t>
      </w:r>
      <w:r w:rsidRPr="00A272CB">
        <w:rPr>
          <w:rFonts w:asciiTheme="minorHAnsi" w:eastAsiaTheme="minorHAnsi" w:hAnsiTheme="minorHAnsi" w:cstheme="minorBidi"/>
        </w:rPr>
        <w:t>, aby</w:t>
      </w:r>
      <w:r w:rsidR="000E7BE2">
        <w:t>:</w:t>
      </w:r>
    </w:p>
    <w:p w14:paraId="0094571E" w14:textId="77777777" w:rsidR="00FF7163" w:rsidRDefault="00FF7163" w:rsidP="00E22555">
      <w:pPr>
        <w:jc w:val="both"/>
      </w:pPr>
    </w:p>
    <w:p w14:paraId="731489EC" w14:textId="2D91DBC3" w:rsidR="000E7BE2" w:rsidRDefault="00A32341" w:rsidP="00E22555">
      <w:pPr>
        <w:pStyle w:val="Akapitzlist1"/>
        <w:numPr>
          <w:ilvl w:val="0"/>
          <w:numId w:val="2"/>
        </w:numPr>
        <w:ind w:left="426" w:hanging="426"/>
        <w:jc w:val="both"/>
      </w:pPr>
      <w:r w:rsidRPr="00F838CB">
        <w:t>Zapozna</w:t>
      </w:r>
      <w:r>
        <w:t>ć</w:t>
      </w:r>
      <w:r w:rsidRPr="00F838CB">
        <w:t xml:space="preserve"> </w:t>
      </w:r>
      <w:r w:rsidR="000E7BE2" w:rsidRPr="00F838CB">
        <w:t xml:space="preserve">się </w:t>
      </w:r>
      <w:r w:rsidR="000E7BE2" w:rsidRPr="00F201C9">
        <w:t>z</w:t>
      </w:r>
      <w:r w:rsidR="000E7BE2">
        <w:t xml:space="preserve"> informacjami KNF i NBP dotyczącym inwestowania w kryptowaluty – link: </w:t>
      </w:r>
      <w:hyperlink r:id="rId11" w:history="1">
        <w:r w:rsidR="000E7BE2" w:rsidRPr="009444A8">
          <w:rPr>
            <w:rStyle w:val="Hipercze"/>
          </w:rPr>
          <w:t>https://uwazajnakryptowaluty.pl/</w:t>
        </w:r>
      </w:hyperlink>
      <w:r w:rsidR="000E7BE2">
        <w:t>;</w:t>
      </w:r>
    </w:p>
    <w:p w14:paraId="75FC1BBE" w14:textId="10EC865A" w:rsidR="000E7BE2" w:rsidRDefault="00A32341" w:rsidP="00E22555">
      <w:pPr>
        <w:pStyle w:val="Akapitzlist1"/>
        <w:numPr>
          <w:ilvl w:val="0"/>
          <w:numId w:val="2"/>
        </w:numPr>
        <w:ind w:left="426" w:hanging="426"/>
        <w:jc w:val="both"/>
      </w:pPr>
      <w:r>
        <w:t>Sprawdzać</w:t>
      </w:r>
      <w:r w:rsidR="000E7BE2">
        <w:t xml:space="preserve">, np. w </w:t>
      </w:r>
      <w:r w:rsidR="00EC2979">
        <w:t>i</w:t>
      </w:r>
      <w:r w:rsidR="000E7BE2">
        <w:t>nternecie</w:t>
      </w:r>
      <w:r>
        <w:t>,</w:t>
      </w:r>
      <w:r w:rsidR="000E7BE2">
        <w:t xml:space="preserve"> wiarygodność instytucji oferującej możliwość inwestowania i</w:t>
      </w:r>
      <w:r w:rsidR="00647832">
        <w:t> </w:t>
      </w:r>
      <w:r w:rsidR="000E7BE2">
        <w:t>osiągania dużych zysków;</w:t>
      </w:r>
    </w:p>
    <w:p w14:paraId="2F76EAE4" w14:textId="39E40973" w:rsidR="00C54B35" w:rsidRDefault="00C54B35" w:rsidP="00C54B35">
      <w:pPr>
        <w:pStyle w:val="Akapitzlist1"/>
        <w:numPr>
          <w:ilvl w:val="0"/>
          <w:numId w:val="2"/>
        </w:numPr>
        <w:ind w:left="426" w:hanging="426"/>
        <w:jc w:val="both"/>
      </w:pPr>
      <w:r>
        <w:t xml:space="preserve">Poszukać informacji w </w:t>
      </w:r>
      <w:r w:rsidR="007F6065">
        <w:t>Internecie</w:t>
      </w:r>
      <w:r>
        <w:t>, czy instytucja zajmująca się tego typu działalnością ma licencję wydaną przez organ nadzoru jednego z krajów Unii Europejskiej</w:t>
      </w:r>
      <w:r w:rsidR="00EC2979">
        <w:t>;</w:t>
      </w:r>
    </w:p>
    <w:p w14:paraId="001DF823" w14:textId="77777777" w:rsidR="00C54B35" w:rsidRDefault="00C54B35" w:rsidP="00C54B35">
      <w:pPr>
        <w:pStyle w:val="Akapitzlist1"/>
        <w:numPr>
          <w:ilvl w:val="0"/>
          <w:numId w:val="2"/>
        </w:numPr>
        <w:ind w:left="426" w:hanging="426"/>
        <w:jc w:val="both"/>
      </w:pPr>
      <w:r>
        <w:t xml:space="preserve">Sprawdzić, czy instytucja znajduje się na liście ostrzeżeń KNF – link: </w:t>
      </w:r>
      <w:hyperlink r:id="rId12" w:history="1">
        <w:r w:rsidRPr="007568A6">
          <w:rPr>
            <w:rStyle w:val="Hipercze"/>
          </w:rPr>
          <w:t>https://www.knf.gov.pl/dla_konsumenta/ostrzezenia_publiczne</w:t>
        </w:r>
      </w:hyperlink>
      <w:r>
        <w:t>;</w:t>
      </w:r>
    </w:p>
    <w:p w14:paraId="18C4F8E3" w14:textId="70E8FC31" w:rsidR="00C54B35" w:rsidRDefault="00C54B35" w:rsidP="00C54B35">
      <w:pPr>
        <w:pStyle w:val="Akapitzlist1"/>
        <w:numPr>
          <w:ilvl w:val="0"/>
          <w:numId w:val="2"/>
        </w:numPr>
        <w:ind w:left="426" w:hanging="426"/>
        <w:jc w:val="both"/>
      </w:pPr>
      <w:r>
        <w:t xml:space="preserve">Sprawdzić opinie o instytucji w </w:t>
      </w:r>
      <w:r w:rsidR="00EC2979">
        <w:t>i</w:t>
      </w:r>
      <w:r w:rsidR="007F6065">
        <w:t>nternecie</w:t>
      </w:r>
      <w:r>
        <w:t>, np. w połączeniu ze terminami „oszustwo” lub „</w:t>
      </w:r>
      <w:r w:rsidR="007F6065">
        <w:t>sam</w:t>
      </w:r>
      <w:r>
        <w:t>”. Nie poprzestawaj po znalezieniu jednej strony z opiniami, znajdź kilka.</w:t>
      </w:r>
      <w:r w:rsidRPr="00AA1CFE">
        <w:t xml:space="preserve"> </w:t>
      </w:r>
      <w:r>
        <w:t xml:space="preserve">Przestępcy mogą wykorzystywać specjalnie przygotowane dla nich serwisy zawierające jedynie przychylne dla nich, zrównoważone opinie; </w:t>
      </w:r>
    </w:p>
    <w:p w14:paraId="659EECBF" w14:textId="240961D4" w:rsidR="00C54B35" w:rsidRDefault="00C54B35" w:rsidP="00C54B35">
      <w:pPr>
        <w:pStyle w:val="Akapitzlist1"/>
        <w:numPr>
          <w:ilvl w:val="0"/>
          <w:numId w:val="2"/>
        </w:numPr>
        <w:ind w:left="426" w:hanging="426"/>
        <w:jc w:val="both"/>
      </w:pPr>
      <w:r>
        <w:t>Zapoznać się z Regulaminem usług świadczonych przez „brokera”. Zwróć uwagę na to, w jakim kraju jest jego siedziba i gdzie ma siedzibę sąd właściwy w przypadku sporów, jak są ustalane prowizje i opłaty, jak wygląda proces wypłaty środków</w:t>
      </w:r>
      <w:r w:rsidR="00EC2979">
        <w:t>;</w:t>
      </w:r>
    </w:p>
    <w:p w14:paraId="5F40EAE7" w14:textId="48E05CB5" w:rsidR="00C80CFF" w:rsidRPr="00A272CB" w:rsidRDefault="00FF7163" w:rsidP="00E22555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N</w:t>
      </w:r>
      <w:r w:rsidR="00C80CFF" w:rsidRPr="00A272CB">
        <w:rPr>
          <w:rFonts w:asciiTheme="minorHAnsi" w:eastAsiaTheme="minorHAnsi" w:hAnsiTheme="minorHAnsi" w:cstheme="minorBidi"/>
        </w:rPr>
        <w:t>ie udostępniać nikomu danych do logowania w bankowości elektronicznej i mobilnej;</w:t>
      </w:r>
    </w:p>
    <w:p w14:paraId="58807C4E" w14:textId="62515D59" w:rsidR="00C80CFF" w:rsidRPr="00A272CB" w:rsidRDefault="00FF7163" w:rsidP="00E22555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N</w:t>
      </w:r>
      <w:r w:rsidR="00C80CFF" w:rsidRPr="00A272CB">
        <w:rPr>
          <w:rFonts w:asciiTheme="minorHAnsi" w:eastAsiaTheme="minorHAnsi" w:hAnsiTheme="minorHAnsi" w:cstheme="minorBidi"/>
        </w:rPr>
        <w:t>ie udostępniać nikomu danych poufnych dotyczących swoich kart płatniczych;</w:t>
      </w:r>
    </w:p>
    <w:p w14:paraId="57D845F7" w14:textId="6677181D" w:rsidR="00C80CFF" w:rsidRDefault="00FF7163" w:rsidP="00E22555">
      <w:pPr>
        <w:pStyle w:val="Akapitzlist1"/>
        <w:numPr>
          <w:ilvl w:val="0"/>
          <w:numId w:val="2"/>
        </w:numPr>
        <w:ind w:left="426" w:hanging="426"/>
        <w:jc w:val="both"/>
      </w:pPr>
      <w:r>
        <w:rPr>
          <w:rFonts w:asciiTheme="minorHAnsi" w:eastAsiaTheme="minorHAnsi" w:hAnsiTheme="minorHAnsi" w:cstheme="minorBidi"/>
        </w:rPr>
        <w:t>N</w:t>
      </w:r>
      <w:r w:rsidR="00C80CFF" w:rsidRPr="00A272CB">
        <w:rPr>
          <w:rFonts w:asciiTheme="minorHAnsi" w:eastAsiaTheme="minorHAnsi" w:hAnsiTheme="minorHAnsi" w:cstheme="minorBidi"/>
        </w:rPr>
        <w:t>ie instalować dodatkowego oprogramowania, na urządzeniach z których następuje logowanie do bankowości internetowej</w:t>
      </w:r>
      <w:r>
        <w:rPr>
          <w:rFonts w:asciiTheme="minorHAnsi" w:eastAsiaTheme="minorHAnsi" w:hAnsiTheme="minorHAnsi" w:cstheme="minorBidi"/>
        </w:rPr>
        <w:t>;</w:t>
      </w:r>
      <w:r w:rsidR="00C80CFF" w:rsidDel="00C80CFF">
        <w:t xml:space="preserve"> </w:t>
      </w:r>
    </w:p>
    <w:p w14:paraId="307D5B4E" w14:textId="0A8BDD35" w:rsidR="000E7BE2" w:rsidRDefault="000E7BE2" w:rsidP="00E22555">
      <w:pPr>
        <w:pStyle w:val="Akapitzlist1"/>
        <w:numPr>
          <w:ilvl w:val="0"/>
          <w:numId w:val="2"/>
        </w:numPr>
        <w:ind w:left="426" w:hanging="426"/>
        <w:jc w:val="both"/>
      </w:pPr>
      <w:r>
        <w:t>Uważn</w:t>
      </w:r>
      <w:r w:rsidR="00FF7163">
        <w:t>i</w:t>
      </w:r>
      <w:r>
        <w:t xml:space="preserve">e </w:t>
      </w:r>
      <w:r w:rsidR="00C80CFF">
        <w:t xml:space="preserve">zapoznawać </w:t>
      </w:r>
      <w:r>
        <w:t>się z opisem kodów autoryzacyjnych</w:t>
      </w:r>
      <w:r w:rsidR="00C80CFF">
        <w:t>, które wysyłają banki, aby zatwierdzić</w:t>
      </w:r>
      <w:r w:rsidR="00E72506">
        <w:t xml:space="preserve"> </w:t>
      </w:r>
      <w:r>
        <w:t>operacj</w:t>
      </w:r>
      <w:r w:rsidR="008179CC">
        <w:t>ę</w:t>
      </w:r>
      <w:r>
        <w:t>;</w:t>
      </w:r>
    </w:p>
    <w:p w14:paraId="54249DBF" w14:textId="2AAC19C5" w:rsidR="000E7BE2" w:rsidRDefault="00FF7163" w:rsidP="00E22555">
      <w:pPr>
        <w:pStyle w:val="Akapitzlist1"/>
        <w:numPr>
          <w:ilvl w:val="0"/>
          <w:numId w:val="2"/>
        </w:numPr>
        <w:ind w:left="426" w:hanging="426"/>
        <w:jc w:val="both"/>
      </w:pPr>
      <w:r>
        <w:t>Z</w:t>
      </w:r>
      <w:r w:rsidR="00C80CFF">
        <w:t xml:space="preserve">achować czujność, gdyby pojawiły się </w:t>
      </w:r>
      <w:r w:rsidR="000E7BE2">
        <w:t>jaki</w:t>
      </w:r>
      <w:r w:rsidR="00C80CFF">
        <w:t>ekolwiek</w:t>
      </w:r>
      <w:r w:rsidR="000E7BE2">
        <w:t xml:space="preserve"> propozycj</w:t>
      </w:r>
      <w:r w:rsidR="00C80CFF">
        <w:t>e</w:t>
      </w:r>
      <w:r w:rsidR="000E7BE2">
        <w:t xml:space="preserve"> </w:t>
      </w:r>
      <w:r w:rsidR="00E639FC">
        <w:t>związane</w:t>
      </w:r>
      <w:r w:rsidR="00C80CFF">
        <w:t xml:space="preserve"> </w:t>
      </w:r>
      <w:r w:rsidR="000E7BE2">
        <w:t>z</w:t>
      </w:r>
      <w:r w:rsidR="00FF5020">
        <w:t> </w:t>
      </w:r>
      <w:r w:rsidR="000E7BE2">
        <w:t>transferem środków pochodzących od innych osób</w:t>
      </w:r>
      <w:r w:rsidR="00C80CFF">
        <w:t xml:space="preserve">, aby nie </w:t>
      </w:r>
      <w:r w:rsidR="00E639FC">
        <w:t>współdziałać</w:t>
      </w:r>
      <w:r w:rsidR="00692B6E">
        <w:t xml:space="preserve"> w </w:t>
      </w:r>
      <w:r w:rsidR="000E7BE2">
        <w:t>przestępstw</w:t>
      </w:r>
      <w:r w:rsidR="00692B6E">
        <w:t>ie</w:t>
      </w:r>
      <w:r w:rsidR="000E7BE2">
        <w:t>;</w:t>
      </w:r>
    </w:p>
    <w:p w14:paraId="1BC47D22" w14:textId="762A79C0" w:rsidR="000E7BE2" w:rsidRDefault="00FF7163" w:rsidP="00E22555">
      <w:pPr>
        <w:pStyle w:val="Akapitzlist1"/>
        <w:numPr>
          <w:ilvl w:val="0"/>
          <w:numId w:val="2"/>
        </w:numPr>
        <w:ind w:left="426" w:hanging="426"/>
        <w:jc w:val="both"/>
      </w:pPr>
      <w:r>
        <w:t>C</w:t>
      </w:r>
      <w:r w:rsidR="00692B6E">
        <w:t>hronić</w:t>
      </w:r>
      <w:r w:rsidR="00E72506">
        <w:t xml:space="preserve"> </w:t>
      </w:r>
      <w:r w:rsidR="0002750D">
        <w:t>poufnoś</w:t>
      </w:r>
      <w:r w:rsidR="00692B6E">
        <w:t>ć</w:t>
      </w:r>
      <w:r w:rsidR="000E7BE2">
        <w:t xml:space="preserve"> swoich dokumentów oraz wizerunku;</w:t>
      </w:r>
    </w:p>
    <w:p w14:paraId="5C014589" w14:textId="2F390499" w:rsidR="000E7BE2" w:rsidRDefault="00FF7163" w:rsidP="00E22555">
      <w:pPr>
        <w:pStyle w:val="Akapitzlist1"/>
        <w:numPr>
          <w:ilvl w:val="0"/>
          <w:numId w:val="2"/>
        </w:numPr>
        <w:ind w:left="426" w:hanging="426"/>
        <w:jc w:val="both"/>
      </w:pPr>
      <w:r>
        <w:t>P</w:t>
      </w:r>
      <w:r w:rsidR="00692B6E">
        <w:t>amiętać</w:t>
      </w:r>
      <w:r w:rsidR="000E7BE2">
        <w:t>, że inwestycje wykorzystujące „dźwignię finansową” są zawsze obarczone dużym ryzykiem</w:t>
      </w:r>
      <w:r w:rsidR="00692B6E">
        <w:t>. Informacja o wysokim ryzyku</w:t>
      </w:r>
      <w:r w:rsidR="000E7BE2">
        <w:t xml:space="preserve"> powinna być przedstawiona w sposób jasny i</w:t>
      </w:r>
      <w:r w:rsidR="00E72506">
        <w:t> </w:t>
      </w:r>
      <w:r w:rsidR="000E7BE2">
        <w:t>zrozumiały</w:t>
      </w:r>
      <w:r w:rsidR="00EC2979">
        <w:t>.</w:t>
      </w:r>
    </w:p>
    <w:p w14:paraId="3A71D58F" w14:textId="77777777" w:rsidR="000E7BE2" w:rsidRDefault="000E7BE2" w:rsidP="00E22555">
      <w:pPr>
        <w:jc w:val="both"/>
      </w:pPr>
    </w:p>
    <w:p w14:paraId="3C1A9322" w14:textId="1A609796" w:rsidR="000E7BE2" w:rsidRDefault="000E7BE2" w:rsidP="00E22555">
      <w:pPr>
        <w:jc w:val="both"/>
      </w:pPr>
      <w:r>
        <w:t xml:space="preserve">Klienci banków w sytuacjach nietypowych zawsze mają prawo skontaktować się ze swoim bankiem, a w </w:t>
      </w:r>
      <w:r w:rsidR="007F6065">
        <w:t>przypadku,</w:t>
      </w:r>
      <w:r>
        <w:t xml:space="preserve"> gdy podejrzewają, że do</w:t>
      </w:r>
      <w:r w:rsidR="0026239F">
        <w:t xml:space="preserve">szło </w:t>
      </w:r>
      <w:r>
        <w:t xml:space="preserve">do popełnienia przestępstwa, </w:t>
      </w:r>
      <w:r w:rsidR="0026239F">
        <w:t xml:space="preserve">powinni </w:t>
      </w:r>
      <w:r>
        <w:t>zgłosić to na Policji. </w:t>
      </w:r>
    </w:p>
    <w:p w14:paraId="628B646E" w14:textId="77777777" w:rsidR="000E7BE2" w:rsidRDefault="000E7BE2" w:rsidP="00E22555">
      <w:pPr>
        <w:jc w:val="both"/>
        <w:rPr>
          <w:i/>
          <w:iCs/>
        </w:rPr>
      </w:pPr>
    </w:p>
    <w:p w14:paraId="33E7CCF2" w14:textId="77777777" w:rsidR="000E7BE2" w:rsidRPr="000C7000" w:rsidRDefault="000E7BE2" w:rsidP="00E22555">
      <w:pPr>
        <w:jc w:val="both"/>
        <w:rPr>
          <w:i/>
          <w:iCs/>
        </w:rPr>
      </w:pPr>
      <w:r w:rsidRPr="000C7000">
        <w:rPr>
          <w:i/>
          <w:iCs/>
        </w:rPr>
        <w:t>Komenda Główna Policji</w:t>
      </w:r>
    </w:p>
    <w:p w14:paraId="25CF6EB7" w14:textId="453C4EF1" w:rsidR="00886813" w:rsidRDefault="000E7BE2" w:rsidP="00E22555">
      <w:pPr>
        <w:jc w:val="both"/>
      </w:pPr>
      <w:r w:rsidRPr="000C7000">
        <w:rPr>
          <w:i/>
          <w:iCs/>
        </w:rPr>
        <w:t>FinCERT.pl – Bankowe Centrum Cyberbezpieczeństwa ZBP</w:t>
      </w:r>
    </w:p>
    <w:sectPr w:rsidR="00886813" w:rsidSect="00647832">
      <w:headerReference w:type="default" r:id="rId13"/>
      <w:footerReference w:type="default" r:id="rId14"/>
      <w:pgSz w:w="11906" w:h="16838"/>
      <w:pgMar w:top="1111" w:right="1134" w:bottom="1134" w:left="1134" w:header="3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8762" w14:textId="77777777" w:rsidR="000E68F6" w:rsidRDefault="000E68F6" w:rsidP="004721A9">
      <w:r>
        <w:separator/>
      </w:r>
    </w:p>
  </w:endnote>
  <w:endnote w:type="continuationSeparator" w:id="0">
    <w:p w14:paraId="601F942F" w14:textId="77777777" w:rsidR="000E68F6" w:rsidRDefault="000E68F6" w:rsidP="0047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A23F" w14:textId="2B2614B9" w:rsidR="001835A1" w:rsidRDefault="001835A1" w:rsidP="00D104D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54B3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A691359" w14:textId="77777777" w:rsidR="001835A1" w:rsidRDefault="00183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028C4" w14:textId="77777777" w:rsidR="000E68F6" w:rsidRDefault="000E68F6" w:rsidP="004721A9">
      <w:r>
        <w:separator/>
      </w:r>
    </w:p>
  </w:footnote>
  <w:footnote w:type="continuationSeparator" w:id="0">
    <w:p w14:paraId="2A211988" w14:textId="77777777" w:rsidR="000E68F6" w:rsidRDefault="000E68F6" w:rsidP="0047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9128C" w14:paraId="25593066" w14:textId="77777777" w:rsidTr="003D64AC">
      <w:tc>
        <w:tcPr>
          <w:tcW w:w="3070" w:type="dxa"/>
        </w:tcPr>
        <w:p w14:paraId="40C96B60" w14:textId="579B98C7" w:rsidR="0019128C" w:rsidRDefault="0019128C" w:rsidP="0019128C">
          <w:r>
            <w:fldChar w:fldCharType="begin"/>
          </w:r>
          <w:r w:rsidR="00710DEC">
            <w:instrText xml:space="preserve"> INCLUDEPICTURE "C:\\var\\folders\\bj\\b4v20vrj0vzfn07gtqtlqxy00000gn\\T\\com.microsoft.Word\\WebArchiveCopyPasteTempFiles\\2Q==" \* MERGEFORMAT </w:instrText>
          </w:r>
          <w:r>
            <w:fldChar w:fldCharType="separate"/>
          </w:r>
          <w:r>
            <w:rPr>
              <w:noProof/>
              <w:lang w:eastAsia="pl-PL"/>
            </w:rPr>
            <w:drawing>
              <wp:inline distT="0" distB="0" distL="0" distR="0" wp14:anchorId="2F119444" wp14:editId="5071D2D0">
                <wp:extent cx="853288" cy="469900"/>
                <wp:effectExtent l="0" t="0" r="0" b="0"/>
                <wp:docPr id="4" name="Obraz 4" descr="Nowe logo Poli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owe logo Polic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244" cy="499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071" w:type="dxa"/>
        </w:tcPr>
        <w:p w14:paraId="0A2914F9" w14:textId="252BE43E" w:rsidR="0019128C" w:rsidRDefault="0019128C" w:rsidP="0019128C">
          <w:pPr>
            <w:jc w:val="center"/>
          </w:pPr>
          <w:r>
            <w:fldChar w:fldCharType="begin"/>
          </w:r>
          <w:r w:rsidR="00710DEC">
            <w:instrText xml:space="preserve"> INCLUDEPICTURE "C:\\var\\folders\\bj\\b4v20vrj0vzfn07gtqtlqxy00000gn\\T\\com.microsoft.Word\\WebArchiveCopyPasteTempFiles\\6352.jpg" \* MERGEFORMAT </w:instrText>
          </w:r>
          <w:r>
            <w:fldChar w:fldCharType="separate"/>
          </w:r>
          <w:r>
            <w:fldChar w:fldCharType="end"/>
          </w:r>
        </w:p>
      </w:tc>
      <w:tc>
        <w:tcPr>
          <w:tcW w:w="3071" w:type="dxa"/>
        </w:tcPr>
        <w:p w14:paraId="651658CA" w14:textId="09817632" w:rsidR="0019128C" w:rsidRDefault="003437F1" w:rsidP="0019128C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A01436" wp14:editId="0634305D">
                <wp:extent cx="948017" cy="470351"/>
                <wp:effectExtent l="0" t="0" r="5080" b="0"/>
                <wp:docPr id="3" name="Obraz 3" descr="Związek Banków Polskich - co go łączy z firmami pożyczkowymi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wiązek Banków Polskich - co go łączy z firmami pożyczkowymi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955" cy="51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9128C">
            <w:fldChar w:fldCharType="begin"/>
          </w:r>
          <w:r w:rsidR="00710DEC">
            <w:instrText xml:space="preserve"> INCLUDEPICTURE "C:\\var\\folders\\bj\\b4v20vrj0vzfn07gtqtlqxy00000gn\\T\\com.microsoft.Word\\WebArchiveCopyPasteTempFiles\\logo-black.png" \* MERGEFORMAT </w:instrText>
          </w:r>
          <w:r w:rsidR="0019128C">
            <w:fldChar w:fldCharType="separate"/>
          </w:r>
          <w:r w:rsidR="0019128C">
            <w:fldChar w:fldCharType="end"/>
          </w:r>
        </w:p>
      </w:tc>
    </w:tr>
    <w:tr w:rsidR="003D64AC" w:rsidRPr="003D64AC" w14:paraId="0522DF38" w14:textId="77777777" w:rsidTr="003D64AC">
      <w:tc>
        <w:tcPr>
          <w:tcW w:w="3070" w:type="dxa"/>
        </w:tcPr>
        <w:p w14:paraId="69A28BEC" w14:textId="77777777" w:rsidR="003D64AC" w:rsidRPr="003D64AC" w:rsidRDefault="003D64AC" w:rsidP="0019128C">
          <w:pPr>
            <w:rPr>
              <w:sz w:val="16"/>
              <w:szCs w:val="16"/>
            </w:rPr>
          </w:pPr>
        </w:p>
      </w:tc>
      <w:tc>
        <w:tcPr>
          <w:tcW w:w="3071" w:type="dxa"/>
        </w:tcPr>
        <w:p w14:paraId="1BDED8E5" w14:textId="77777777" w:rsidR="003D64AC" w:rsidRPr="003D64AC" w:rsidRDefault="003D64AC" w:rsidP="0019128C">
          <w:pPr>
            <w:jc w:val="center"/>
            <w:rPr>
              <w:sz w:val="16"/>
              <w:szCs w:val="16"/>
            </w:rPr>
          </w:pPr>
        </w:p>
      </w:tc>
      <w:tc>
        <w:tcPr>
          <w:tcW w:w="3071" w:type="dxa"/>
        </w:tcPr>
        <w:p w14:paraId="4F337BD8" w14:textId="77777777" w:rsidR="003D64AC" w:rsidRPr="003D64AC" w:rsidRDefault="003D64AC" w:rsidP="0019128C">
          <w:pPr>
            <w:jc w:val="right"/>
            <w:rPr>
              <w:sz w:val="16"/>
              <w:szCs w:val="16"/>
            </w:rPr>
          </w:pPr>
        </w:p>
      </w:tc>
    </w:tr>
  </w:tbl>
  <w:p w14:paraId="25DA2157" w14:textId="77777777" w:rsidR="0019128C" w:rsidRPr="00421A6D" w:rsidRDefault="0019128C" w:rsidP="00421A6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6969"/>
    <w:multiLevelType w:val="hybridMultilevel"/>
    <w:tmpl w:val="41E0BF42"/>
    <w:lvl w:ilvl="0" w:tplc="12F2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69AF"/>
    <w:multiLevelType w:val="hybridMultilevel"/>
    <w:tmpl w:val="CE7C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A0644C"/>
    <w:multiLevelType w:val="hybridMultilevel"/>
    <w:tmpl w:val="F342BC08"/>
    <w:lvl w:ilvl="0" w:tplc="12F2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4699"/>
    <w:multiLevelType w:val="hybridMultilevel"/>
    <w:tmpl w:val="3FDC62DE"/>
    <w:lvl w:ilvl="0" w:tplc="12F2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A7CFD"/>
    <w:multiLevelType w:val="hybridMultilevel"/>
    <w:tmpl w:val="779E6C46"/>
    <w:lvl w:ilvl="0" w:tplc="12F2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E33"/>
    <w:multiLevelType w:val="hybridMultilevel"/>
    <w:tmpl w:val="86028C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593A"/>
    <w:multiLevelType w:val="hybridMultilevel"/>
    <w:tmpl w:val="899EDF5A"/>
    <w:lvl w:ilvl="0" w:tplc="12F2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579"/>
    <w:multiLevelType w:val="hybridMultilevel"/>
    <w:tmpl w:val="A8788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460A9"/>
    <w:multiLevelType w:val="hybridMultilevel"/>
    <w:tmpl w:val="141A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1F3F68"/>
    <w:multiLevelType w:val="hybridMultilevel"/>
    <w:tmpl w:val="8F8E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5F6F37"/>
    <w:multiLevelType w:val="hybridMultilevel"/>
    <w:tmpl w:val="BBA89CB0"/>
    <w:lvl w:ilvl="0" w:tplc="12F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F2551A"/>
    <w:multiLevelType w:val="hybridMultilevel"/>
    <w:tmpl w:val="3EB8A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EB5EBA"/>
    <w:multiLevelType w:val="hybridMultilevel"/>
    <w:tmpl w:val="A35ECA24"/>
    <w:lvl w:ilvl="0" w:tplc="12F22F2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855B2F"/>
    <w:multiLevelType w:val="hybridMultilevel"/>
    <w:tmpl w:val="D2C200E0"/>
    <w:lvl w:ilvl="0" w:tplc="12F22F2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4A3B51"/>
    <w:multiLevelType w:val="hybridMultilevel"/>
    <w:tmpl w:val="FB208430"/>
    <w:lvl w:ilvl="0" w:tplc="12F2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4"/>
    <w:rsid w:val="00001901"/>
    <w:rsid w:val="00011C13"/>
    <w:rsid w:val="00023F0C"/>
    <w:rsid w:val="0002750D"/>
    <w:rsid w:val="00032EAB"/>
    <w:rsid w:val="00034278"/>
    <w:rsid w:val="00050F95"/>
    <w:rsid w:val="000630DA"/>
    <w:rsid w:val="00082602"/>
    <w:rsid w:val="00086384"/>
    <w:rsid w:val="0008798D"/>
    <w:rsid w:val="00095920"/>
    <w:rsid w:val="000A5783"/>
    <w:rsid w:val="000B1B21"/>
    <w:rsid w:val="000B1BB0"/>
    <w:rsid w:val="000B6768"/>
    <w:rsid w:val="000C7000"/>
    <w:rsid w:val="000E68F6"/>
    <w:rsid w:val="000E7BE2"/>
    <w:rsid w:val="00125D77"/>
    <w:rsid w:val="00137373"/>
    <w:rsid w:val="001421EB"/>
    <w:rsid w:val="00144A6A"/>
    <w:rsid w:val="00151667"/>
    <w:rsid w:val="00171BCD"/>
    <w:rsid w:val="001835A1"/>
    <w:rsid w:val="001853CE"/>
    <w:rsid w:val="0019128C"/>
    <w:rsid w:val="0019314A"/>
    <w:rsid w:val="001955E6"/>
    <w:rsid w:val="001B4AD1"/>
    <w:rsid w:val="001B742A"/>
    <w:rsid w:val="001C4B70"/>
    <w:rsid w:val="001D51DC"/>
    <w:rsid w:val="001D71EF"/>
    <w:rsid w:val="001F0D90"/>
    <w:rsid w:val="001F1805"/>
    <w:rsid w:val="001F33E0"/>
    <w:rsid w:val="0021607F"/>
    <w:rsid w:val="00235161"/>
    <w:rsid w:val="0026239F"/>
    <w:rsid w:val="00293328"/>
    <w:rsid w:val="002A4206"/>
    <w:rsid w:val="002D0169"/>
    <w:rsid w:val="002D3C43"/>
    <w:rsid w:val="003133C3"/>
    <w:rsid w:val="003437F1"/>
    <w:rsid w:val="00343FC8"/>
    <w:rsid w:val="00351DAD"/>
    <w:rsid w:val="003618E0"/>
    <w:rsid w:val="003631FB"/>
    <w:rsid w:val="003646FD"/>
    <w:rsid w:val="0038042A"/>
    <w:rsid w:val="00380B40"/>
    <w:rsid w:val="003968B9"/>
    <w:rsid w:val="003D5B18"/>
    <w:rsid w:val="003D64AC"/>
    <w:rsid w:val="003F58B6"/>
    <w:rsid w:val="00403CAF"/>
    <w:rsid w:val="00417DFC"/>
    <w:rsid w:val="00421A6D"/>
    <w:rsid w:val="004519D4"/>
    <w:rsid w:val="0045384B"/>
    <w:rsid w:val="004721A9"/>
    <w:rsid w:val="00484450"/>
    <w:rsid w:val="004957F8"/>
    <w:rsid w:val="004C1CB0"/>
    <w:rsid w:val="00515D25"/>
    <w:rsid w:val="00516A75"/>
    <w:rsid w:val="005478FE"/>
    <w:rsid w:val="005548E2"/>
    <w:rsid w:val="00556670"/>
    <w:rsid w:val="00585808"/>
    <w:rsid w:val="00597EBD"/>
    <w:rsid w:val="005A0DC8"/>
    <w:rsid w:val="005A6DBB"/>
    <w:rsid w:val="005B1AF7"/>
    <w:rsid w:val="005C3E80"/>
    <w:rsid w:val="005C73DF"/>
    <w:rsid w:val="006059AB"/>
    <w:rsid w:val="00607F05"/>
    <w:rsid w:val="00610182"/>
    <w:rsid w:val="0061334B"/>
    <w:rsid w:val="00627C98"/>
    <w:rsid w:val="006347C9"/>
    <w:rsid w:val="006435D5"/>
    <w:rsid w:val="00647832"/>
    <w:rsid w:val="00660377"/>
    <w:rsid w:val="00662767"/>
    <w:rsid w:val="006674DF"/>
    <w:rsid w:val="00671AED"/>
    <w:rsid w:val="00690F14"/>
    <w:rsid w:val="00692B6E"/>
    <w:rsid w:val="006964C9"/>
    <w:rsid w:val="006A5570"/>
    <w:rsid w:val="006A6F8D"/>
    <w:rsid w:val="006B17E4"/>
    <w:rsid w:val="006C3AF2"/>
    <w:rsid w:val="006E328F"/>
    <w:rsid w:val="006E738D"/>
    <w:rsid w:val="006F5EA7"/>
    <w:rsid w:val="00710DEC"/>
    <w:rsid w:val="007176CF"/>
    <w:rsid w:val="00746706"/>
    <w:rsid w:val="007535D0"/>
    <w:rsid w:val="007562FD"/>
    <w:rsid w:val="007568A6"/>
    <w:rsid w:val="00763859"/>
    <w:rsid w:val="00776650"/>
    <w:rsid w:val="00792843"/>
    <w:rsid w:val="007A4E41"/>
    <w:rsid w:val="007A50D2"/>
    <w:rsid w:val="007B014D"/>
    <w:rsid w:val="007B47C0"/>
    <w:rsid w:val="007B569C"/>
    <w:rsid w:val="007B77BA"/>
    <w:rsid w:val="007B79A4"/>
    <w:rsid w:val="007F6065"/>
    <w:rsid w:val="0080753D"/>
    <w:rsid w:val="0081711A"/>
    <w:rsid w:val="008179CC"/>
    <w:rsid w:val="00824F48"/>
    <w:rsid w:val="00827903"/>
    <w:rsid w:val="00831243"/>
    <w:rsid w:val="0083357E"/>
    <w:rsid w:val="008374BC"/>
    <w:rsid w:val="00857268"/>
    <w:rsid w:val="00873EE2"/>
    <w:rsid w:val="00886813"/>
    <w:rsid w:val="008930CD"/>
    <w:rsid w:val="008979A4"/>
    <w:rsid w:val="008A1BFE"/>
    <w:rsid w:val="008A3CC5"/>
    <w:rsid w:val="008E152F"/>
    <w:rsid w:val="008E7E0A"/>
    <w:rsid w:val="00922C5C"/>
    <w:rsid w:val="009444A8"/>
    <w:rsid w:val="00946624"/>
    <w:rsid w:val="00987ADF"/>
    <w:rsid w:val="009A0954"/>
    <w:rsid w:val="009B64C5"/>
    <w:rsid w:val="009C4B29"/>
    <w:rsid w:val="009D4F21"/>
    <w:rsid w:val="009E4F2B"/>
    <w:rsid w:val="00A07C89"/>
    <w:rsid w:val="00A12C85"/>
    <w:rsid w:val="00A272CB"/>
    <w:rsid w:val="00A32341"/>
    <w:rsid w:val="00A4616D"/>
    <w:rsid w:val="00A5414C"/>
    <w:rsid w:val="00A5472D"/>
    <w:rsid w:val="00A622C4"/>
    <w:rsid w:val="00A65FB1"/>
    <w:rsid w:val="00A90284"/>
    <w:rsid w:val="00AA1CFE"/>
    <w:rsid w:val="00AC2A5A"/>
    <w:rsid w:val="00AC36A5"/>
    <w:rsid w:val="00AC392B"/>
    <w:rsid w:val="00AC4B6C"/>
    <w:rsid w:val="00AC64AD"/>
    <w:rsid w:val="00AF219F"/>
    <w:rsid w:val="00B0695D"/>
    <w:rsid w:val="00B13160"/>
    <w:rsid w:val="00B3760D"/>
    <w:rsid w:val="00B444EB"/>
    <w:rsid w:val="00B526DB"/>
    <w:rsid w:val="00B5736B"/>
    <w:rsid w:val="00B578B9"/>
    <w:rsid w:val="00B83282"/>
    <w:rsid w:val="00B87656"/>
    <w:rsid w:val="00B922BC"/>
    <w:rsid w:val="00B95F63"/>
    <w:rsid w:val="00BA09EB"/>
    <w:rsid w:val="00BB2AD4"/>
    <w:rsid w:val="00BC3DA7"/>
    <w:rsid w:val="00BC5EB3"/>
    <w:rsid w:val="00BD25B6"/>
    <w:rsid w:val="00BD7A73"/>
    <w:rsid w:val="00BE016F"/>
    <w:rsid w:val="00BF4FFB"/>
    <w:rsid w:val="00BF5484"/>
    <w:rsid w:val="00C33B4C"/>
    <w:rsid w:val="00C54B35"/>
    <w:rsid w:val="00C626D0"/>
    <w:rsid w:val="00C80CFF"/>
    <w:rsid w:val="00CA22A8"/>
    <w:rsid w:val="00CB021A"/>
    <w:rsid w:val="00CC4F21"/>
    <w:rsid w:val="00CC76D5"/>
    <w:rsid w:val="00CD178E"/>
    <w:rsid w:val="00CD63F2"/>
    <w:rsid w:val="00CD6625"/>
    <w:rsid w:val="00D104D0"/>
    <w:rsid w:val="00D16434"/>
    <w:rsid w:val="00D313A9"/>
    <w:rsid w:val="00D44390"/>
    <w:rsid w:val="00D53C2F"/>
    <w:rsid w:val="00D56212"/>
    <w:rsid w:val="00D72A73"/>
    <w:rsid w:val="00D958C0"/>
    <w:rsid w:val="00DA441E"/>
    <w:rsid w:val="00DA57A8"/>
    <w:rsid w:val="00DB60A7"/>
    <w:rsid w:val="00DD07BF"/>
    <w:rsid w:val="00DD36FE"/>
    <w:rsid w:val="00DE35D3"/>
    <w:rsid w:val="00DE4667"/>
    <w:rsid w:val="00DF5FC6"/>
    <w:rsid w:val="00E22555"/>
    <w:rsid w:val="00E22616"/>
    <w:rsid w:val="00E34D5E"/>
    <w:rsid w:val="00E461C5"/>
    <w:rsid w:val="00E55FCE"/>
    <w:rsid w:val="00E639FC"/>
    <w:rsid w:val="00E72506"/>
    <w:rsid w:val="00E764C1"/>
    <w:rsid w:val="00E824F4"/>
    <w:rsid w:val="00E8603B"/>
    <w:rsid w:val="00E95F17"/>
    <w:rsid w:val="00EC2979"/>
    <w:rsid w:val="00EC3171"/>
    <w:rsid w:val="00EE48BA"/>
    <w:rsid w:val="00EE54F0"/>
    <w:rsid w:val="00EE5F27"/>
    <w:rsid w:val="00F06519"/>
    <w:rsid w:val="00F17FD2"/>
    <w:rsid w:val="00F201C9"/>
    <w:rsid w:val="00F44EC2"/>
    <w:rsid w:val="00F45653"/>
    <w:rsid w:val="00F45F80"/>
    <w:rsid w:val="00F52729"/>
    <w:rsid w:val="00F60DD3"/>
    <w:rsid w:val="00F64BA2"/>
    <w:rsid w:val="00F71046"/>
    <w:rsid w:val="00F838CB"/>
    <w:rsid w:val="00F92295"/>
    <w:rsid w:val="00FA107A"/>
    <w:rsid w:val="00FC2FAF"/>
    <w:rsid w:val="00FD48E4"/>
    <w:rsid w:val="00FF502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6EC9F"/>
  <w15:chartTrackingRefBased/>
  <w15:docId w15:val="{521AE9B3-E790-A745-8D14-FA922E5B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07A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933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99"/>
    <w:qFormat/>
    <w:rsid w:val="00293328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29332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B6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B67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5C7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7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C73DF"/>
    <w:rPr>
      <w:sz w:val="20"/>
      <w:szCs w:val="20"/>
    </w:rPr>
  </w:style>
  <w:style w:type="character" w:styleId="Hipercze">
    <w:name w:val="Hyperlink"/>
    <w:uiPriority w:val="99"/>
    <w:rsid w:val="002D3C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2D3C43"/>
    <w:rPr>
      <w:color w:val="auto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472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21A9"/>
  </w:style>
  <w:style w:type="character" w:styleId="Numerstrony">
    <w:name w:val="page number"/>
    <w:basedOn w:val="Domylnaczcionkaakapitu"/>
    <w:uiPriority w:val="99"/>
    <w:semiHidden/>
    <w:rsid w:val="004721A9"/>
  </w:style>
  <w:style w:type="paragraph" w:styleId="Nagwek">
    <w:name w:val="header"/>
    <w:basedOn w:val="Normalny"/>
    <w:link w:val="NagwekZnak"/>
    <w:uiPriority w:val="99"/>
    <w:unhideWhenUsed/>
    <w:rsid w:val="00191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28C"/>
    <w:rPr>
      <w:rFonts w:cs="Calibri"/>
      <w:sz w:val="24"/>
      <w:szCs w:val="24"/>
      <w:lang w:eastAsia="en-US"/>
    </w:rPr>
  </w:style>
  <w:style w:type="table" w:styleId="Tabela-Siatka">
    <w:name w:val="Table Grid"/>
    <w:basedOn w:val="Standardowy"/>
    <w:locked/>
    <w:rsid w:val="0019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F0C"/>
    <w:rPr>
      <w:rFonts w:cs="Calibri"/>
      <w:b/>
      <w:bCs/>
      <w:sz w:val="20"/>
      <w:szCs w:val="20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959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4F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76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podmioty/wyszukiwarka_podmioto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nf.gov.pl/dla_konsumenta/ostrzezenia_publicz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azajnakryptowalut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bp.pl/Aktualnosci/Wydarzenia/Nie-zostan-mulem-finansowy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ja.pl/pol/aktualnosci/182302,Operacja-EMMA-5.html?sid=f309c82dc0babb99508f0947e50e781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EB6B-774E-43A4-92FF-8FA413AD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na wyłudzenia związane z inwestowaniem na rynkach kryptowalut i Forex – Działaj rozsądnie</vt:lpstr>
    </vt:vector>
  </TitlesOfParts>
  <Company>MILLENNIUM BANK S.A.</Company>
  <LinksUpToDate>false</LinksUpToDate>
  <CharactersWithSpaces>13978</CharactersWithSpaces>
  <SharedDoc>false</SharedDoc>
  <HLinks>
    <vt:vector size="24" baseType="variant"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https://www.knf.gov.pl/dla_konsumenta/ostrzezenia_publiczne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https://uwazajnakryptowaluty.pl/</vt:lpwstr>
      </vt:variant>
      <vt:variant>
        <vt:lpwstr/>
      </vt:variant>
      <vt:variant>
        <vt:i4>6160470</vt:i4>
      </vt:variant>
      <vt:variant>
        <vt:i4>3</vt:i4>
      </vt:variant>
      <vt:variant>
        <vt:i4>0</vt:i4>
      </vt:variant>
      <vt:variant>
        <vt:i4>5</vt:i4>
      </vt:variant>
      <vt:variant>
        <vt:lpwstr>https://zbp.pl/Aktualnosci/Wydarzenia/Nie-zostan-mulem-finansowym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http://policja.pl/pol/aktualnosci/182302,Operacja-EMMA-5.html?sid=f309c82dc0babb99508f0947e50e7818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na wyłudzenia związane z inwestowaniem na rynkach kryptowalut i Forex – Działaj rozsądnie</dc:title>
  <dc:subject/>
  <dc:creator>Office FinCERT</dc:creator>
  <cp:keywords/>
  <dc:description/>
  <cp:lastModifiedBy>Lipowski Dariusz</cp:lastModifiedBy>
  <cp:revision>3</cp:revision>
  <dcterms:created xsi:type="dcterms:W3CDTF">2021-03-23T09:45:00Z</dcterms:created>
  <dcterms:modified xsi:type="dcterms:W3CDTF">2021-03-23T09:46:00Z</dcterms:modified>
  <cp:category>INTERNAL</cp:category>
</cp:coreProperties>
</file>